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93" w:rsidRPr="00484D7D" w:rsidRDefault="00614693" w:rsidP="00614693">
      <w:pPr>
        <w:jc w:val="right"/>
        <w:rPr>
          <w:i/>
          <w:color w:val="000000" w:themeColor="text1"/>
        </w:rPr>
      </w:pPr>
      <w:r w:rsidRPr="00484D7D">
        <w:rPr>
          <w:i/>
          <w:color w:val="000000" w:themeColor="text1"/>
        </w:rPr>
        <w:t xml:space="preserve">Asunción, </w:t>
      </w:r>
      <w:r w:rsidR="00457F68">
        <w:rPr>
          <w:i/>
          <w:color w:val="000000" w:themeColor="text1"/>
        </w:rPr>
        <w:t xml:space="preserve">                                                </w:t>
      </w:r>
      <w:r w:rsidRPr="00484D7D">
        <w:rPr>
          <w:i/>
          <w:color w:val="000000" w:themeColor="text1"/>
        </w:rPr>
        <w:t xml:space="preserve">  de</w:t>
      </w:r>
      <w:r w:rsidR="00AE40A2">
        <w:rPr>
          <w:i/>
          <w:color w:val="000000" w:themeColor="text1"/>
        </w:rPr>
        <w:t xml:space="preserve"> </w:t>
      </w:r>
      <w:r w:rsidR="00D112CB" w:rsidRPr="00484D7D">
        <w:rPr>
          <w:i/>
          <w:color w:val="000000" w:themeColor="text1"/>
        </w:rPr>
        <w:t>201</w:t>
      </w:r>
      <w:r w:rsidR="00D112CB">
        <w:rPr>
          <w:i/>
          <w:color w:val="000000" w:themeColor="text1"/>
        </w:rPr>
        <w:t>6</w:t>
      </w:r>
    </w:p>
    <w:p w:rsidR="00614693" w:rsidRPr="00484D7D" w:rsidRDefault="00614693" w:rsidP="00614693">
      <w:pPr>
        <w:jc w:val="both"/>
        <w:rPr>
          <w:i/>
          <w:color w:val="000000" w:themeColor="text1"/>
          <w:lang w:val="es-ES_tradnl"/>
        </w:rPr>
      </w:pPr>
    </w:p>
    <w:p w:rsidR="00614693" w:rsidRDefault="00614693" w:rsidP="00614693">
      <w:pPr>
        <w:jc w:val="both"/>
        <w:rPr>
          <w:i/>
          <w:color w:val="000000" w:themeColor="text1"/>
          <w:lang w:val="es-ES_tradnl"/>
        </w:rPr>
      </w:pPr>
    </w:p>
    <w:p w:rsidR="000E0D7A" w:rsidRPr="00484D7D" w:rsidRDefault="000E0D7A" w:rsidP="00614693">
      <w:pPr>
        <w:jc w:val="both"/>
        <w:rPr>
          <w:i/>
          <w:color w:val="000000" w:themeColor="text1"/>
          <w:lang w:val="es-ES_tradnl"/>
        </w:rPr>
      </w:pPr>
    </w:p>
    <w:p w:rsidR="00614693" w:rsidRPr="00484D7D" w:rsidRDefault="00614693" w:rsidP="00614693">
      <w:pPr>
        <w:jc w:val="both"/>
        <w:rPr>
          <w:i/>
          <w:color w:val="000000" w:themeColor="text1"/>
          <w:lang w:val="es-ES_tradnl"/>
        </w:rPr>
      </w:pPr>
    </w:p>
    <w:p w:rsidR="00614693" w:rsidRPr="00484D7D" w:rsidRDefault="00614693" w:rsidP="00614693">
      <w:pPr>
        <w:jc w:val="both"/>
        <w:rPr>
          <w:i/>
          <w:color w:val="000000" w:themeColor="text1"/>
          <w:lang w:val="es-ES_tradnl"/>
        </w:rPr>
      </w:pPr>
      <w:r w:rsidRPr="00484D7D">
        <w:rPr>
          <w:i/>
          <w:color w:val="000000" w:themeColor="text1"/>
          <w:lang w:val="es-ES_tradnl"/>
        </w:rPr>
        <w:t>N°________</w:t>
      </w:r>
    </w:p>
    <w:p w:rsidR="00614693" w:rsidRPr="00484D7D" w:rsidRDefault="00614693" w:rsidP="00614693">
      <w:pPr>
        <w:jc w:val="both"/>
        <w:rPr>
          <w:i/>
          <w:color w:val="000000" w:themeColor="text1"/>
          <w:lang w:val="es-ES_tradnl"/>
        </w:rPr>
      </w:pPr>
    </w:p>
    <w:p w:rsidR="00614693" w:rsidRPr="00484D7D" w:rsidRDefault="00614693" w:rsidP="00614693">
      <w:pPr>
        <w:jc w:val="both"/>
        <w:rPr>
          <w:i/>
          <w:color w:val="000000" w:themeColor="text1"/>
          <w:lang w:val="es-ES_tradnl"/>
        </w:rPr>
      </w:pPr>
    </w:p>
    <w:p w:rsidR="00614693" w:rsidRPr="00484D7D" w:rsidRDefault="00614693" w:rsidP="00614693">
      <w:pPr>
        <w:rPr>
          <w:i/>
          <w:color w:val="000000" w:themeColor="text1"/>
        </w:rPr>
      </w:pPr>
      <w:r w:rsidRPr="00484D7D">
        <w:rPr>
          <w:b/>
          <w:i/>
          <w:color w:val="000000" w:themeColor="text1"/>
        </w:rPr>
        <w:t>Señor Presidente</w:t>
      </w:r>
      <w:r w:rsidRPr="00484D7D">
        <w:rPr>
          <w:i/>
          <w:color w:val="000000" w:themeColor="text1"/>
        </w:rPr>
        <w:t>:</w:t>
      </w:r>
    </w:p>
    <w:p w:rsidR="00614693" w:rsidRDefault="00614693" w:rsidP="00614693">
      <w:pPr>
        <w:jc w:val="both"/>
        <w:rPr>
          <w:i/>
          <w:color w:val="000000" w:themeColor="text1"/>
          <w:lang w:val="es-ES_tradnl"/>
        </w:rPr>
      </w:pPr>
    </w:p>
    <w:p w:rsidR="000E0D7A" w:rsidRPr="00484D7D" w:rsidRDefault="000E0D7A" w:rsidP="00614693">
      <w:pPr>
        <w:jc w:val="both"/>
        <w:rPr>
          <w:i/>
          <w:color w:val="000000" w:themeColor="text1"/>
          <w:lang w:val="es-ES_tradnl"/>
        </w:rPr>
      </w:pPr>
    </w:p>
    <w:p w:rsidR="003C2EBA" w:rsidRPr="00E62867" w:rsidRDefault="003C2EBA" w:rsidP="003C2EBA">
      <w:pPr>
        <w:pStyle w:val="Textoindependiente3"/>
        <w:spacing w:line="240" w:lineRule="auto"/>
        <w:ind w:firstLine="1985"/>
        <w:rPr>
          <w:rFonts w:ascii="Times New Roman" w:hAnsi="Times New Roman"/>
          <w:i/>
          <w:color w:val="000000"/>
          <w:sz w:val="24"/>
          <w:szCs w:val="24"/>
        </w:rPr>
      </w:pPr>
      <w:r w:rsidRPr="00E62867">
        <w:rPr>
          <w:rFonts w:ascii="Times New Roman" w:hAnsi="Times New Roman"/>
          <w:i/>
          <w:color w:val="000000"/>
          <w:sz w:val="24"/>
          <w:szCs w:val="24"/>
        </w:rPr>
        <w:t>Con sumo agrado me dirijo a Vuestra Honorabilidad para someter a estudio y consideración</w:t>
      </w:r>
      <w:r w:rsidR="009B3D9D">
        <w:rPr>
          <w:rFonts w:ascii="Times New Roman" w:hAnsi="Times New Roman"/>
          <w:i/>
          <w:color w:val="000000"/>
          <w:sz w:val="24"/>
          <w:szCs w:val="24"/>
        </w:rPr>
        <w:t xml:space="preserve"> de ese Alto Cuerpo Legislativo</w:t>
      </w:r>
      <w:r w:rsidRPr="00E62867">
        <w:rPr>
          <w:rFonts w:ascii="Times New Roman" w:hAnsi="Times New Roman"/>
          <w:i/>
          <w:color w:val="000000"/>
          <w:sz w:val="24"/>
          <w:szCs w:val="24"/>
        </w:rPr>
        <w:t xml:space="preserve"> el Proyecto de Ley </w:t>
      </w:r>
      <w:r>
        <w:rPr>
          <w:rFonts w:ascii="Times New Roman" w:hAnsi="Times New Roman"/>
          <w:i/>
          <w:color w:val="000000"/>
          <w:sz w:val="24"/>
          <w:szCs w:val="24"/>
        </w:rPr>
        <w:t xml:space="preserve">“Que aprueba el </w:t>
      </w:r>
      <w:r w:rsidRPr="00E62867">
        <w:rPr>
          <w:rFonts w:ascii="Times New Roman" w:hAnsi="Times New Roman"/>
          <w:i/>
          <w:color w:val="000000"/>
          <w:sz w:val="24"/>
          <w:szCs w:val="24"/>
        </w:rPr>
        <w:t>Presupuesto General de la Nación para el Ejercicio Fiscal 201</w:t>
      </w:r>
      <w:r>
        <w:rPr>
          <w:rFonts w:ascii="Times New Roman" w:hAnsi="Times New Roman"/>
          <w:i/>
          <w:color w:val="000000"/>
          <w:sz w:val="24"/>
          <w:szCs w:val="24"/>
        </w:rPr>
        <w:t>7”</w:t>
      </w:r>
      <w:r w:rsidRPr="00E62867">
        <w:rPr>
          <w:rFonts w:ascii="Times New Roman" w:hAnsi="Times New Roman"/>
          <w:i/>
          <w:color w:val="000000"/>
          <w:sz w:val="24"/>
          <w:szCs w:val="24"/>
        </w:rPr>
        <w:t>.</w:t>
      </w:r>
    </w:p>
    <w:p w:rsidR="003C2EBA" w:rsidRPr="00E62867" w:rsidRDefault="003C2EBA" w:rsidP="003C2EBA">
      <w:pPr>
        <w:pStyle w:val="Textoindependiente3"/>
        <w:spacing w:line="240" w:lineRule="auto"/>
        <w:rPr>
          <w:rFonts w:ascii="Times New Roman" w:hAnsi="Times New Roman"/>
          <w:i/>
          <w:color w:val="000000"/>
          <w:sz w:val="24"/>
          <w:szCs w:val="24"/>
        </w:rPr>
      </w:pPr>
    </w:p>
    <w:p w:rsidR="00FA2669" w:rsidRDefault="003C2EBA" w:rsidP="003C2EBA">
      <w:pPr>
        <w:pStyle w:val="Textoindependiente3"/>
        <w:ind w:firstLine="1985"/>
        <w:rPr>
          <w:rFonts w:ascii="Times New Roman" w:hAnsi="Times New Roman"/>
          <w:i/>
          <w:color w:val="000000"/>
          <w:sz w:val="24"/>
          <w:szCs w:val="24"/>
        </w:rPr>
      </w:pPr>
      <w:r w:rsidRPr="002F148F">
        <w:rPr>
          <w:rFonts w:ascii="Times New Roman" w:hAnsi="Times New Roman"/>
          <w:i/>
          <w:color w:val="000000"/>
          <w:sz w:val="24"/>
          <w:szCs w:val="24"/>
        </w:rPr>
        <w:t xml:space="preserve">El Presupuesto General de la Nación es </w:t>
      </w:r>
      <w:r>
        <w:rPr>
          <w:rFonts w:ascii="Times New Roman" w:hAnsi="Times New Roman"/>
          <w:i/>
          <w:color w:val="000000"/>
          <w:sz w:val="24"/>
          <w:szCs w:val="24"/>
        </w:rPr>
        <w:t>la principal herramienta a través de la cual se instrumenta la política económica y fiscal</w:t>
      </w:r>
      <w:r w:rsidR="00457F68">
        <w:rPr>
          <w:rFonts w:ascii="Times New Roman" w:hAnsi="Times New Roman"/>
          <w:i/>
          <w:color w:val="000000"/>
          <w:sz w:val="24"/>
          <w:szCs w:val="24"/>
        </w:rPr>
        <w:t xml:space="preserve"> del Estado y en donde se reflejan </w:t>
      </w:r>
      <w:r w:rsidRPr="002F148F">
        <w:rPr>
          <w:rFonts w:ascii="Times New Roman" w:hAnsi="Times New Roman"/>
          <w:i/>
          <w:color w:val="000000"/>
          <w:sz w:val="24"/>
          <w:szCs w:val="24"/>
        </w:rPr>
        <w:t>la</w:t>
      </w:r>
      <w:r>
        <w:rPr>
          <w:rFonts w:ascii="Times New Roman" w:hAnsi="Times New Roman"/>
          <w:i/>
          <w:color w:val="000000"/>
          <w:sz w:val="24"/>
          <w:szCs w:val="24"/>
        </w:rPr>
        <w:t>s</w:t>
      </w:r>
      <w:r w:rsidRPr="002F148F">
        <w:rPr>
          <w:rFonts w:ascii="Times New Roman" w:hAnsi="Times New Roman"/>
          <w:i/>
          <w:color w:val="000000"/>
          <w:sz w:val="24"/>
          <w:szCs w:val="24"/>
        </w:rPr>
        <w:t xml:space="preserve"> acciones </w:t>
      </w:r>
      <w:r>
        <w:rPr>
          <w:rFonts w:ascii="Times New Roman" w:hAnsi="Times New Roman"/>
          <w:i/>
          <w:color w:val="000000"/>
          <w:sz w:val="24"/>
          <w:szCs w:val="24"/>
        </w:rPr>
        <w:t>que realizará</w:t>
      </w:r>
      <w:r w:rsidRPr="002F148F">
        <w:rPr>
          <w:rFonts w:ascii="Times New Roman" w:hAnsi="Times New Roman"/>
          <w:i/>
          <w:color w:val="000000"/>
          <w:sz w:val="24"/>
          <w:szCs w:val="24"/>
        </w:rPr>
        <w:t xml:space="preserve"> el Gobierno</w:t>
      </w:r>
      <w:r>
        <w:rPr>
          <w:rFonts w:ascii="Times New Roman" w:hAnsi="Times New Roman"/>
          <w:i/>
          <w:color w:val="000000"/>
          <w:sz w:val="24"/>
          <w:szCs w:val="24"/>
        </w:rPr>
        <w:t xml:space="preserve"> Nacional</w:t>
      </w:r>
      <w:r w:rsidR="00D07EF0">
        <w:rPr>
          <w:rFonts w:ascii="Times New Roman" w:hAnsi="Times New Roman"/>
          <w:i/>
          <w:color w:val="000000"/>
          <w:sz w:val="24"/>
          <w:szCs w:val="24"/>
        </w:rPr>
        <w:t xml:space="preserve"> de manera a contribuir </w:t>
      </w:r>
      <w:r w:rsidR="00457F68">
        <w:rPr>
          <w:rFonts w:ascii="Times New Roman" w:hAnsi="Times New Roman"/>
          <w:i/>
          <w:color w:val="000000"/>
          <w:sz w:val="24"/>
          <w:szCs w:val="24"/>
        </w:rPr>
        <w:t>y</w:t>
      </w:r>
      <w:r w:rsidR="00D07EF0">
        <w:rPr>
          <w:rFonts w:ascii="Times New Roman" w:hAnsi="Times New Roman"/>
          <w:i/>
          <w:color w:val="000000"/>
          <w:sz w:val="24"/>
          <w:szCs w:val="24"/>
        </w:rPr>
        <w:t xml:space="preserve"> generar las condiciones necesarias para alcanzar</w:t>
      </w:r>
      <w:r>
        <w:rPr>
          <w:rFonts w:ascii="Times New Roman" w:hAnsi="Times New Roman"/>
          <w:i/>
          <w:color w:val="000000"/>
          <w:sz w:val="24"/>
          <w:szCs w:val="24"/>
        </w:rPr>
        <w:t xml:space="preserve"> los objetivos del Plan Nacional de Desarrollo </w:t>
      </w:r>
      <w:r w:rsidR="00FA2669">
        <w:rPr>
          <w:rFonts w:ascii="Times New Roman" w:hAnsi="Times New Roman"/>
          <w:i/>
          <w:color w:val="000000"/>
          <w:sz w:val="24"/>
          <w:szCs w:val="24"/>
        </w:rPr>
        <w:t xml:space="preserve">Paraguay </w:t>
      </w:r>
      <w:r>
        <w:rPr>
          <w:rFonts w:ascii="Times New Roman" w:hAnsi="Times New Roman"/>
          <w:i/>
          <w:color w:val="000000"/>
          <w:sz w:val="24"/>
          <w:szCs w:val="24"/>
        </w:rPr>
        <w:t>2030</w:t>
      </w:r>
      <w:r w:rsidR="00A464E3">
        <w:rPr>
          <w:rFonts w:ascii="Times New Roman" w:hAnsi="Times New Roman"/>
          <w:i/>
          <w:color w:val="000000"/>
          <w:sz w:val="24"/>
          <w:szCs w:val="24"/>
        </w:rPr>
        <w:t xml:space="preserve">, </w:t>
      </w:r>
      <w:r w:rsidR="00457F68">
        <w:rPr>
          <w:rFonts w:ascii="Times New Roman" w:hAnsi="Times New Roman"/>
          <w:i/>
          <w:color w:val="000000"/>
          <w:sz w:val="24"/>
          <w:szCs w:val="24"/>
        </w:rPr>
        <w:t>l</w:t>
      </w:r>
      <w:r w:rsidR="008B5A88">
        <w:rPr>
          <w:rFonts w:ascii="Times New Roman" w:hAnsi="Times New Roman"/>
          <w:i/>
          <w:color w:val="000000"/>
          <w:sz w:val="24"/>
          <w:szCs w:val="24"/>
        </w:rPr>
        <w:t>a</w:t>
      </w:r>
      <w:r w:rsidR="00457F68">
        <w:rPr>
          <w:rFonts w:ascii="Times New Roman" w:hAnsi="Times New Roman"/>
          <w:i/>
          <w:color w:val="000000"/>
          <w:sz w:val="24"/>
          <w:szCs w:val="24"/>
        </w:rPr>
        <w:t>s cuales</w:t>
      </w:r>
      <w:r w:rsidR="00A464E3">
        <w:rPr>
          <w:rFonts w:ascii="Times New Roman" w:hAnsi="Times New Roman"/>
          <w:i/>
          <w:color w:val="000000"/>
          <w:sz w:val="24"/>
          <w:szCs w:val="24"/>
        </w:rPr>
        <w:t xml:space="preserve"> han sido consensuados con la ciudadanía</w:t>
      </w:r>
      <w:r w:rsidRPr="002F148F">
        <w:rPr>
          <w:rFonts w:ascii="Times New Roman" w:hAnsi="Times New Roman"/>
          <w:i/>
          <w:color w:val="000000"/>
          <w:sz w:val="24"/>
          <w:szCs w:val="24"/>
        </w:rPr>
        <w:t>.</w:t>
      </w:r>
    </w:p>
    <w:p w:rsidR="00D07EF0" w:rsidRDefault="00D07EF0" w:rsidP="00457F68">
      <w:pPr>
        <w:pStyle w:val="Textoindependiente3"/>
        <w:rPr>
          <w:rFonts w:ascii="Times New Roman" w:hAnsi="Times New Roman"/>
          <w:i/>
          <w:color w:val="000000"/>
          <w:sz w:val="24"/>
          <w:szCs w:val="24"/>
        </w:rPr>
      </w:pPr>
    </w:p>
    <w:p w:rsidR="001C425C" w:rsidRDefault="001C425C" w:rsidP="00D07EF0">
      <w:pPr>
        <w:pStyle w:val="Textoindependiente3"/>
        <w:ind w:firstLine="1985"/>
        <w:rPr>
          <w:rFonts w:ascii="Times New Roman" w:hAnsi="Times New Roman"/>
          <w:i/>
          <w:color w:val="000000"/>
          <w:sz w:val="24"/>
          <w:szCs w:val="24"/>
        </w:rPr>
      </w:pPr>
      <w:r>
        <w:rPr>
          <w:rFonts w:ascii="Times New Roman" w:hAnsi="Times New Roman"/>
          <w:i/>
          <w:color w:val="000000"/>
          <w:sz w:val="24"/>
          <w:szCs w:val="24"/>
        </w:rPr>
        <w:t xml:space="preserve">En particular, el propósito del Gobierno Nacional, plasmado en éste Proyecto de Ley, es priorizar las políticas sociales, la educación, la salud, la provisión de viviendas dignas para </w:t>
      </w:r>
      <w:r w:rsidR="00942C28">
        <w:rPr>
          <w:rFonts w:ascii="Times New Roman" w:hAnsi="Times New Roman"/>
          <w:i/>
          <w:color w:val="000000"/>
          <w:sz w:val="24"/>
          <w:szCs w:val="24"/>
        </w:rPr>
        <w:t>familias</w:t>
      </w:r>
      <w:r>
        <w:rPr>
          <w:rFonts w:ascii="Times New Roman" w:hAnsi="Times New Roman"/>
          <w:i/>
          <w:color w:val="000000"/>
          <w:sz w:val="24"/>
          <w:szCs w:val="24"/>
        </w:rPr>
        <w:t xml:space="preserve"> de escasos recursos y la inversión pública en proyectos estratégicos que generen un alto impacto</w:t>
      </w:r>
      <w:r w:rsidR="00604366">
        <w:rPr>
          <w:rFonts w:ascii="Times New Roman" w:hAnsi="Times New Roman"/>
          <w:i/>
          <w:color w:val="000000"/>
          <w:sz w:val="24"/>
          <w:szCs w:val="24"/>
        </w:rPr>
        <w:t xml:space="preserve"> positivo</w:t>
      </w:r>
      <w:r>
        <w:rPr>
          <w:rFonts w:ascii="Times New Roman" w:hAnsi="Times New Roman"/>
          <w:i/>
          <w:color w:val="000000"/>
          <w:sz w:val="24"/>
          <w:szCs w:val="24"/>
        </w:rPr>
        <w:t xml:space="preserve"> en el bienestar social y en la productividad.</w:t>
      </w:r>
    </w:p>
    <w:p w:rsidR="00114F2A" w:rsidRPr="002F148F" w:rsidRDefault="00114F2A" w:rsidP="00D07EF0">
      <w:pPr>
        <w:pStyle w:val="Textoindependiente3"/>
        <w:ind w:firstLine="1985"/>
        <w:rPr>
          <w:rFonts w:ascii="Times New Roman" w:hAnsi="Times New Roman"/>
          <w:i/>
          <w:color w:val="000000"/>
          <w:sz w:val="24"/>
          <w:szCs w:val="24"/>
        </w:rPr>
      </w:pPr>
    </w:p>
    <w:p w:rsidR="00CB43CB" w:rsidRDefault="003C2EBA" w:rsidP="006D2A03">
      <w:pPr>
        <w:pStyle w:val="Textoindependiente3"/>
        <w:ind w:firstLine="1985"/>
        <w:rPr>
          <w:rFonts w:ascii="Times New Roman" w:hAnsi="Times New Roman"/>
          <w:i/>
          <w:color w:val="000000"/>
          <w:sz w:val="24"/>
          <w:szCs w:val="24"/>
        </w:rPr>
      </w:pPr>
      <w:r w:rsidRPr="006D2A03">
        <w:rPr>
          <w:rFonts w:ascii="Times New Roman" w:hAnsi="Times New Roman"/>
          <w:i/>
          <w:color w:val="000000"/>
          <w:sz w:val="24"/>
          <w:szCs w:val="24"/>
        </w:rPr>
        <w:t xml:space="preserve">La </w:t>
      </w:r>
      <w:r w:rsidR="007E34AC">
        <w:rPr>
          <w:rFonts w:ascii="Times New Roman" w:hAnsi="Times New Roman"/>
          <w:i/>
          <w:color w:val="000000"/>
          <w:sz w:val="24"/>
          <w:szCs w:val="24"/>
        </w:rPr>
        <w:t>orientación</w:t>
      </w:r>
      <w:r w:rsidR="007E34AC" w:rsidRPr="006D2A03">
        <w:rPr>
          <w:rFonts w:ascii="Times New Roman" w:hAnsi="Times New Roman"/>
          <w:i/>
          <w:color w:val="000000"/>
          <w:sz w:val="24"/>
          <w:szCs w:val="24"/>
        </w:rPr>
        <w:t xml:space="preserve"> </w:t>
      </w:r>
      <w:r w:rsidRPr="006D2A03">
        <w:rPr>
          <w:rFonts w:ascii="Times New Roman" w:hAnsi="Times New Roman"/>
          <w:i/>
          <w:color w:val="000000"/>
          <w:sz w:val="24"/>
          <w:szCs w:val="24"/>
        </w:rPr>
        <w:t xml:space="preserve">del Proyecto </w:t>
      </w:r>
      <w:r w:rsidR="00E97FFC">
        <w:rPr>
          <w:rFonts w:ascii="Times New Roman" w:hAnsi="Times New Roman"/>
          <w:i/>
          <w:color w:val="000000"/>
          <w:sz w:val="24"/>
          <w:szCs w:val="24"/>
        </w:rPr>
        <w:t xml:space="preserve">de Ley </w:t>
      </w:r>
      <w:r w:rsidR="00FA2669" w:rsidRPr="006D2A03">
        <w:rPr>
          <w:rFonts w:ascii="Times New Roman" w:hAnsi="Times New Roman"/>
          <w:i/>
          <w:color w:val="000000"/>
          <w:sz w:val="24"/>
          <w:szCs w:val="24"/>
        </w:rPr>
        <w:t xml:space="preserve">es coherente </w:t>
      </w:r>
      <w:r w:rsidR="001C425C" w:rsidRPr="006D2A03">
        <w:rPr>
          <w:rFonts w:ascii="Times New Roman" w:hAnsi="Times New Roman"/>
          <w:i/>
          <w:color w:val="000000"/>
          <w:sz w:val="24"/>
          <w:szCs w:val="24"/>
        </w:rPr>
        <w:t xml:space="preserve">también </w:t>
      </w:r>
      <w:r w:rsidR="003A7CF7" w:rsidRPr="006D2A03">
        <w:rPr>
          <w:rFonts w:ascii="Times New Roman" w:hAnsi="Times New Roman"/>
          <w:i/>
          <w:color w:val="000000"/>
          <w:sz w:val="24"/>
          <w:szCs w:val="24"/>
        </w:rPr>
        <w:t xml:space="preserve">con el objetivo de lograr una mayor eficiencia </w:t>
      </w:r>
      <w:r w:rsidR="00A464E3">
        <w:rPr>
          <w:rFonts w:ascii="Times New Roman" w:hAnsi="Times New Roman"/>
          <w:i/>
          <w:color w:val="000000"/>
          <w:sz w:val="24"/>
          <w:szCs w:val="24"/>
        </w:rPr>
        <w:t xml:space="preserve">y transparencia </w:t>
      </w:r>
      <w:r w:rsidR="008B5A88">
        <w:rPr>
          <w:rFonts w:ascii="Times New Roman" w:hAnsi="Times New Roman"/>
          <w:i/>
          <w:color w:val="000000"/>
          <w:sz w:val="24"/>
          <w:szCs w:val="24"/>
        </w:rPr>
        <w:t xml:space="preserve">en la provisión de bienes y </w:t>
      </w:r>
      <w:r w:rsidRPr="006D2A03">
        <w:rPr>
          <w:rFonts w:ascii="Times New Roman" w:hAnsi="Times New Roman"/>
          <w:i/>
          <w:color w:val="000000"/>
          <w:sz w:val="24"/>
          <w:szCs w:val="24"/>
        </w:rPr>
        <w:t>servicios públicos</w:t>
      </w:r>
      <w:r w:rsidR="00FA2669" w:rsidRPr="006D2A03">
        <w:rPr>
          <w:rFonts w:ascii="Times New Roman" w:hAnsi="Times New Roman"/>
          <w:i/>
          <w:color w:val="000000"/>
          <w:sz w:val="24"/>
          <w:szCs w:val="24"/>
        </w:rPr>
        <w:t xml:space="preserve">. Dicha política </w:t>
      </w:r>
      <w:r w:rsidR="003A7CF7" w:rsidRPr="006D2A03">
        <w:rPr>
          <w:rFonts w:ascii="Times New Roman" w:hAnsi="Times New Roman"/>
          <w:i/>
          <w:color w:val="000000"/>
          <w:sz w:val="24"/>
          <w:szCs w:val="24"/>
        </w:rPr>
        <w:t xml:space="preserve">busca, por un lado, mejorar los niveles de ejecución y la calidad del gasto y, por </w:t>
      </w:r>
      <w:r w:rsidR="00CF48CD">
        <w:rPr>
          <w:rFonts w:ascii="Times New Roman" w:hAnsi="Times New Roman"/>
          <w:i/>
          <w:color w:val="000000"/>
          <w:sz w:val="24"/>
          <w:szCs w:val="24"/>
        </w:rPr>
        <w:t xml:space="preserve">el </w:t>
      </w:r>
      <w:r w:rsidR="003A7CF7" w:rsidRPr="006D2A03">
        <w:rPr>
          <w:rFonts w:ascii="Times New Roman" w:hAnsi="Times New Roman"/>
          <w:i/>
          <w:color w:val="000000"/>
          <w:sz w:val="24"/>
          <w:szCs w:val="24"/>
        </w:rPr>
        <w:t>otro</w:t>
      </w:r>
      <w:r w:rsidR="00CF48CD">
        <w:rPr>
          <w:rFonts w:ascii="Times New Roman" w:hAnsi="Times New Roman"/>
          <w:i/>
          <w:color w:val="000000"/>
          <w:sz w:val="24"/>
          <w:szCs w:val="24"/>
        </w:rPr>
        <w:t>,</w:t>
      </w:r>
      <w:r w:rsidR="003A7CF7" w:rsidRPr="006D2A03">
        <w:rPr>
          <w:rFonts w:ascii="Times New Roman" w:hAnsi="Times New Roman"/>
          <w:i/>
          <w:color w:val="000000"/>
          <w:sz w:val="24"/>
          <w:szCs w:val="24"/>
        </w:rPr>
        <w:t xml:space="preserve"> hacer que </w:t>
      </w:r>
      <w:r w:rsidR="009D0A5C">
        <w:rPr>
          <w:rFonts w:ascii="Times New Roman" w:hAnsi="Times New Roman"/>
          <w:i/>
          <w:color w:val="000000"/>
          <w:sz w:val="24"/>
          <w:szCs w:val="24"/>
        </w:rPr>
        <w:t>el presupuesto</w:t>
      </w:r>
      <w:r w:rsidR="003A7CF7" w:rsidRPr="006D2A03">
        <w:rPr>
          <w:rFonts w:ascii="Times New Roman" w:hAnsi="Times New Roman"/>
          <w:i/>
          <w:color w:val="000000"/>
          <w:sz w:val="24"/>
          <w:szCs w:val="24"/>
        </w:rPr>
        <w:t xml:space="preserve"> sea un reflejo lo más fidedigno posible de las capacidades reales del Estado en materia de generación de recursos y de gestión.</w:t>
      </w:r>
    </w:p>
    <w:p w:rsidR="0059774E" w:rsidRDefault="0059774E" w:rsidP="006D2A03">
      <w:pPr>
        <w:pStyle w:val="Textoindependiente3"/>
        <w:ind w:firstLine="1985"/>
        <w:rPr>
          <w:rFonts w:ascii="Times New Roman" w:hAnsi="Times New Roman"/>
          <w:i/>
          <w:color w:val="000000"/>
          <w:sz w:val="24"/>
          <w:szCs w:val="24"/>
        </w:rPr>
      </w:pPr>
    </w:p>
    <w:p w:rsidR="00CB43CB" w:rsidRDefault="00F249E5" w:rsidP="006D2A03">
      <w:pPr>
        <w:pStyle w:val="Textoindependiente3"/>
        <w:ind w:firstLine="1985"/>
        <w:rPr>
          <w:rFonts w:ascii="Times New Roman" w:hAnsi="Times New Roman"/>
          <w:i/>
          <w:color w:val="000000"/>
          <w:sz w:val="24"/>
          <w:szCs w:val="24"/>
        </w:rPr>
      </w:pPr>
      <w:r>
        <w:rPr>
          <w:rFonts w:ascii="Times New Roman" w:hAnsi="Times New Roman"/>
          <w:i/>
          <w:color w:val="000000"/>
          <w:sz w:val="24"/>
          <w:szCs w:val="24"/>
        </w:rPr>
        <w:t>L</w:t>
      </w:r>
      <w:r w:rsidRPr="00AE5573">
        <w:rPr>
          <w:rFonts w:ascii="Times New Roman" w:hAnsi="Times New Roman"/>
          <w:i/>
          <w:color w:val="000000"/>
          <w:sz w:val="24"/>
          <w:szCs w:val="24"/>
        </w:rPr>
        <w:t xml:space="preserve">os bajos precios internacionales de los productos de exportación del Paraguay, la desaceleración del crecimiento de las economías avanzadas y de China, la depresión económica del Brasil y el proceso de ajuste con menor crecimiento que vive la Argentina son fenómenos exógenos que afectan a la economía nacional y sobre los cuales el Poder Ejecutivo </w:t>
      </w:r>
      <w:r w:rsidR="00A464E3">
        <w:rPr>
          <w:rFonts w:ascii="Times New Roman" w:hAnsi="Times New Roman"/>
          <w:i/>
          <w:color w:val="000000"/>
          <w:sz w:val="24"/>
          <w:szCs w:val="24"/>
        </w:rPr>
        <w:t>prácticamente no puede</w:t>
      </w:r>
      <w:r w:rsidRPr="00AE5573">
        <w:rPr>
          <w:rFonts w:ascii="Times New Roman" w:hAnsi="Times New Roman"/>
          <w:i/>
          <w:color w:val="000000"/>
          <w:sz w:val="24"/>
          <w:szCs w:val="24"/>
        </w:rPr>
        <w:t xml:space="preserve"> incidir.</w:t>
      </w:r>
    </w:p>
    <w:p w:rsidR="009E0AE5" w:rsidRDefault="009E0AE5">
      <w:pPr>
        <w:spacing w:after="200" w:line="276" w:lineRule="auto"/>
        <w:rPr>
          <w:i/>
          <w:color w:val="000000"/>
          <w:spacing w:val="0"/>
          <w:lang w:val="es-PY"/>
        </w:rPr>
      </w:pPr>
      <w:r>
        <w:rPr>
          <w:i/>
          <w:color w:val="000000"/>
        </w:rPr>
        <w:br w:type="page"/>
      </w:r>
    </w:p>
    <w:p w:rsidR="009E0AE5" w:rsidRPr="00484D7D" w:rsidRDefault="009E0AE5" w:rsidP="009E0AE5">
      <w:pPr>
        <w:jc w:val="center"/>
        <w:rPr>
          <w:i/>
          <w:color w:val="000000" w:themeColor="text1"/>
          <w:lang w:val="es-ES_tradnl"/>
        </w:rPr>
      </w:pPr>
      <w:r>
        <w:rPr>
          <w:i/>
          <w:color w:val="000000" w:themeColor="text1"/>
          <w:lang w:val="es-ES_tradnl"/>
        </w:rPr>
        <w:lastRenderedPageBreak/>
        <w:t>-2-</w:t>
      </w:r>
    </w:p>
    <w:p w:rsidR="009E0AE5" w:rsidRDefault="009E0AE5" w:rsidP="009E0AE5">
      <w:pPr>
        <w:jc w:val="both"/>
        <w:rPr>
          <w:i/>
          <w:color w:val="000000" w:themeColor="text1"/>
          <w:lang w:val="es-ES_tradnl"/>
        </w:rPr>
      </w:pPr>
    </w:p>
    <w:p w:rsidR="00EC4A3D" w:rsidRPr="00484D7D" w:rsidRDefault="00EC4A3D" w:rsidP="009E0AE5">
      <w:pPr>
        <w:jc w:val="both"/>
        <w:rPr>
          <w:i/>
          <w:color w:val="000000" w:themeColor="text1"/>
          <w:lang w:val="es-ES_tradnl"/>
        </w:rPr>
      </w:pPr>
    </w:p>
    <w:p w:rsidR="009E0AE5" w:rsidRPr="00484D7D" w:rsidRDefault="009E0AE5" w:rsidP="009E0AE5">
      <w:pPr>
        <w:jc w:val="both"/>
        <w:rPr>
          <w:i/>
          <w:color w:val="000000" w:themeColor="text1"/>
          <w:lang w:val="es-ES_tradnl"/>
        </w:rPr>
      </w:pPr>
    </w:p>
    <w:p w:rsidR="009E0AE5" w:rsidRPr="00484D7D" w:rsidRDefault="009E0AE5" w:rsidP="009E0AE5">
      <w:pPr>
        <w:jc w:val="both"/>
        <w:rPr>
          <w:i/>
          <w:color w:val="000000" w:themeColor="text1"/>
          <w:lang w:val="es-ES_tradnl"/>
        </w:rPr>
      </w:pPr>
      <w:r w:rsidRPr="00484D7D">
        <w:rPr>
          <w:i/>
          <w:color w:val="000000" w:themeColor="text1"/>
          <w:lang w:val="es-ES_tradnl"/>
        </w:rPr>
        <w:t>N°________</w:t>
      </w:r>
    </w:p>
    <w:p w:rsidR="009E0AE5" w:rsidRPr="00484D7D" w:rsidRDefault="009E0AE5" w:rsidP="009E0AE5">
      <w:pPr>
        <w:jc w:val="both"/>
        <w:rPr>
          <w:i/>
          <w:color w:val="000000" w:themeColor="text1"/>
          <w:lang w:val="es-ES_tradnl"/>
        </w:rPr>
      </w:pPr>
    </w:p>
    <w:p w:rsidR="009E0AE5" w:rsidRPr="00484D7D" w:rsidRDefault="009E0AE5" w:rsidP="009E0AE5">
      <w:pPr>
        <w:jc w:val="both"/>
        <w:rPr>
          <w:i/>
          <w:color w:val="000000" w:themeColor="text1"/>
          <w:lang w:val="es-ES_tradnl"/>
        </w:rPr>
      </w:pPr>
    </w:p>
    <w:p w:rsidR="00DF5877" w:rsidRDefault="00DF5877" w:rsidP="0059774E">
      <w:pPr>
        <w:pStyle w:val="Textoindependiente3"/>
        <w:ind w:firstLine="1985"/>
        <w:rPr>
          <w:rFonts w:ascii="Times New Roman" w:hAnsi="Times New Roman"/>
          <w:i/>
          <w:color w:val="000000"/>
          <w:sz w:val="24"/>
          <w:szCs w:val="24"/>
        </w:rPr>
      </w:pPr>
      <w:r>
        <w:rPr>
          <w:rFonts w:ascii="Times New Roman" w:hAnsi="Times New Roman"/>
          <w:i/>
          <w:color w:val="000000"/>
          <w:sz w:val="24"/>
          <w:szCs w:val="24"/>
        </w:rPr>
        <w:t>Si bien la República del Paraguay</w:t>
      </w:r>
      <w:r w:rsidR="00867171">
        <w:rPr>
          <w:rFonts w:ascii="Times New Roman" w:hAnsi="Times New Roman"/>
          <w:i/>
          <w:color w:val="000000"/>
          <w:sz w:val="24"/>
          <w:szCs w:val="24"/>
        </w:rPr>
        <w:t xml:space="preserve">, </w:t>
      </w:r>
      <w:r w:rsidR="00154AB2">
        <w:rPr>
          <w:rFonts w:ascii="Times New Roman" w:hAnsi="Times New Roman"/>
          <w:i/>
          <w:color w:val="000000"/>
          <w:sz w:val="24"/>
          <w:szCs w:val="24"/>
        </w:rPr>
        <w:t xml:space="preserve">apoyada </w:t>
      </w:r>
      <w:r w:rsidR="00867171">
        <w:rPr>
          <w:rFonts w:ascii="Times New Roman" w:hAnsi="Times New Roman"/>
          <w:i/>
          <w:color w:val="000000"/>
          <w:sz w:val="24"/>
          <w:szCs w:val="24"/>
        </w:rPr>
        <w:t xml:space="preserve">principalmente en sus motores de </w:t>
      </w:r>
      <w:r w:rsidR="00123802">
        <w:rPr>
          <w:rFonts w:ascii="Times New Roman" w:hAnsi="Times New Roman"/>
          <w:i/>
          <w:color w:val="000000"/>
          <w:sz w:val="24"/>
          <w:szCs w:val="24"/>
        </w:rPr>
        <w:t>desarrollo</w:t>
      </w:r>
      <w:r w:rsidR="00867171">
        <w:rPr>
          <w:rFonts w:ascii="Times New Roman" w:hAnsi="Times New Roman"/>
          <w:i/>
          <w:color w:val="000000"/>
          <w:sz w:val="24"/>
          <w:szCs w:val="24"/>
        </w:rPr>
        <w:t xml:space="preserve"> interno, </w:t>
      </w:r>
      <w:r>
        <w:rPr>
          <w:rFonts w:ascii="Times New Roman" w:hAnsi="Times New Roman"/>
          <w:i/>
          <w:color w:val="000000"/>
          <w:sz w:val="24"/>
          <w:szCs w:val="24"/>
        </w:rPr>
        <w:t xml:space="preserve">mantiene un nivel de crecimiento envidiable en comparación a sus pares regionales, la coyuntura externa resulta </w:t>
      </w:r>
      <w:r w:rsidR="00867171">
        <w:rPr>
          <w:rFonts w:ascii="Times New Roman" w:hAnsi="Times New Roman"/>
          <w:i/>
          <w:color w:val="000000"/>
          <w:sz w:val="24"/>
          <w:szCs w:val="24"/>
        </w:rPr>
        <w:t xml:space="preserve">indefectiblemente </w:t>
      </w:r>
      <w:r>
        <w:rPr>
          <w:rFonts w:ascii="Times New Roman" w:hAnsi="Times New Roman"/>
          <w:i/>
          <w:color w:val="000000"/>
          <w:sz w:val="24"/>
          <w:szCs w:val="24"/>
        </w:rPr>
        <w:t>en un menor crecimiento de la economía nacional y limita la posibilidad de generar mayores recursos tributarios para el sostenimiento de los programas del Presupuesto General de la Nación. A este desafío coyuntural se suma el impacto negativo que ha tenido la</w:t>
      </w:r>
      <w:r w:rsidR="005844F9">
        <w:rPr>
          <w:rFonts w:ascii="Times New Roman" w:hAnsi="Times New Roman"/>
          <w:i/>
          <w:color w:val="000000"/>
          <w:sz w:val="24"/>
          <w:szCs w:val="24"/>
        </w:rPr>
        <w:t xml:space="preserve"> política de años anteriores al 2013</w:t>
      </w:r>
      <w:r w:rsidR="00114F2A">
        <w:rPr>
          <w:rFonts w:ascii="Times New Roman" w:hAnsi="Times New Roman"/>
          <w:i/>
          <w:color w:val="000000"/>
          <w:sz w:val="24"/>
          <w:szCs w:val="24"/>
        </w:rPr>
        <w:t>,</w:t>
      </w:r>
      <w:r w:rsidR="005844F9">
        <w:rPr>
          <w:rFonts w:ascii="Times New Roman" w:hAnsi="Times New Roman"/>
          <w:i/>
          <w:color w:val="000000"/>
          <w:sz w:val="24"/>
          <w:szCs w:val="24"/>
        </w:rPr>
        <w:t xml:space="preserve"> de destinar</w:t>
      </w:r>
      <w:r w:rsidR="003C2EBA">
        <w:rPr>
          <w:rFonts w:ascii="Times New Roman" w:hAnsi="Times New Roman"/>
          <w:i/>
          <w:color w:val="000000"/>
          <w:sz w:val="24"/>
          <w:szCs w:val="24"/>
        </w:rPr>
        <w:t xml:space="preserve"> </w:t>
      </w:r>
      <w:r w:rsidR="00F249E5">
        <w:rPr>
          <w:rFonts w:ascii="Times New Roman" w:hAnsi="Times New Roman"/>
          <w:i/>
          <w:color w:val="000000"/>
          <w:sz w:val="24"/>
          <w:szCs w:val="24"/>
        </w:rPr>
        <w:t xml:space="preserve">gran parte de los </w:t>
      </w:r>
      <w:r w:rsidR="003C2EBA">
        <w:rPr>
          <w:rFonts w:ascii="Times New Roman" w:hAnsi="Times New Roman"/>
          <w:i/>
          <w:color w:val="000000"/>
          <w:sz w:val="24"/>
          <w:szCs w:val="24"/>
        </w:rPr>
        <w:t>incremento</w:t>
      </w:r>
      <w:r w:rsidR="005844F9">
        <w:rPr>
          <w:rFonts w:ascii="Times New Roman" w:hAnsi="Times New Roman"/>
          <w:i/>
          <w:color w:val="000000"/>
          <w:sz w:val="24"/>
          <w:szCs w:val="24"/>
        </w:rPr>
        <w:t>s</w:t>
      </w:r>
      <w:r w:rsidR="003C2EBA">
        <w:rPr>
          <w:rFonts w:ascii="Times New Roman" w:hAnsi="Times New Roman"/>
          <w:i/>
          <w:color w:val="000000"/>
          <w:sz w:val="24"/>
          <w:szCs w:val="24"/>
        </w:rPr>
        <w:t xml:space="preserve"> </w:t>
      </w:r>
      <w:r w:rsidR="00114F2A">
        <w:rPr>
          <w:rFonts w:ascii="Times New Roman" w:hAnsi="Times New Roman"/>
          <w:i/>
          <w:color w:val="000000"/>
          <w:sz w:val="24"/>
          <w:szCs w:val="24"/>
        </w:rPr>
        <w:t xml:space="preserve">logrados </w:t>
      </w:r>
      <w:r w:rsidR="005844F9">
        <w:rPr>
          <w:rFonts w:ascii="Times New Roman" w:hAnsi="Times New Roman"/>
          <w:i/>
          <w:color w:val="000000"/>
          <w:sz w:val="24"/>
          <w:szCs w:val="24"/>
        </w:rPr>
        <w:t xml:space="preserve">en </w:t>
      </w:r>
      <w:r w:rsidR="003C2EBA">
        <w:rPr>
          <w:rFonts w:ascii="Times New Roman" w:hAnsi="Times New Roman"/>
          <w:i/>
          <w:color w:val="000000"/>
          <w:sz w:val="24"/>
          <w:szCs w:val="24"/>
        </w:rPr>
        <w:t xml:space="preserve">la recaudación </w:t>
      </w:r>
      <w:r w:rsidR="00851181">
        <w:rPr>
          <w:rFonts w:ascii="Times New Roman" w:hAnsi="Times New Roman"/>
          <w:i/>
          <w:color w:val="000000"/>
          <w:sz w:val="24"/>
          <w:szCs w:val="24"/>
        </w:rPr>
        <w:t>tributaria</w:t>
      </w:r>
      <w:r w:rsidR="003C2EBA">
        <w:rPr>
          <w:rFonts w:ascii="Times New Roman" w:hAnsi="Times New Roman"/>
          <w:i/>
          <w:color w:val="000000"/>
          <w:sz w:val="24"/>
          <w:szCs w:val="24"/>
        </w:rPr>
        <w:t xml:space="preserve"> </w:t>
      </w:r>
      <w:r w:rsidR="005844F9">
        <w:rPr>
          <w:rFonts w:ascii="Times New Roman" w:hAnsi="Times New Roman"/>
          <w:i/>
          <w:color w:val="000000"/>
          <w:sz w:val="24"/>
          <w:szCs w:val="24"/>
        </w:rPr>
        <w:t>a</w:t>
      </w:r>
      <w:r w:rsidR="00114F2A">
        <w:rPr>
          <w:rFonts w:ascii="Times New Roman" w:hAnsi="Times New Roman"/>
          <w:i/>
          <w:color w:val="000000"/>
          <w:sz w:val="24"/>
          <w:szCs w:val="24"/>
        </w:rPr>
        <w:t>l</w:t>
      </w:r>
      <w:r w:rsidR="005844F9">
        <w:rPr>
          <w:rFonts w:ascii="Times New Roman" w:hAnsi="Times New Roman"/>
          <w:i/>
          <w:color w:val="000000"/>
          <w:sz w:val="24"/>
          <w:szCs w:val="24"/>
        </w:rPr>
        <w:t xml:space="preserve"> gasto salarial</w:t>
      </w:r>
      <w:r>
        <w:rPr>
          <w:rFonts w:ascii="Times New Roman" w:hAnsi="Times New Roman"/>
          <w:i/>
          <w:color w:val="000000"/>
          <w:sz w:val="24"/>
          <w:szCs w:val="24"/>
        </w:rPr>
        <w:t>.</w:t>
      </w:r>
    </w:p>
    <w:p w:rsidR="0059774E" w:rsidRDefault="0059774E" w:rsidP="00D44857">
      <w:pPr>
        <w:pStyle w:val="Textoindependiente3"/>
        <w:rPr>
          <w:rFonts w:ascii="Times New Roman" w:hAnsi="Times New Roman"/>
          <w:i/>
          <w:color w:val="000000"/>
          <w:sz w:val="24"/>
          <w:szCs w:val="24"/>
        </w:rPr>
      </w:pPr>
    </w:p>
    <w:p w:rsidR="0059774E" w:rsidRDefault="00DF5877" w:rsidP="0059774E">
      <w:pPr>
        <w:pStyle w:val="Textoindependiente3"/>
        <w:ind w:firstLine="1985"/>
        <w:rPr>
          <w:rFonts w:ascii="Times New Roman" w:hAnsi="Times New Roman"/>
          <w:i/>
          <w:color w:val="000000"/>
          <w:sz w:val="24"/>
          <w:szCs w:val="24"/>
        </w:rPr>
      </w:pPr>
      <w:r>
        <w:rPr>
          <w:rFonts w:ascii="Times New Roman" w:hAnsi="Times New Roman"/>
          <w:i/>
          <w:color w:val="000000"/>
          <w:sz w:val="24"/>
          <w:szCs w:val="24"/>
        </w:rPr>
        <w:t>La conjugación de estos factores</w:t>
      </w:r>
      <w:r w:rsidR="003C2EBA">
        <w:rPr>
          <w:rFonts w:ascii="Times New Roman" w:hAnsi="Times New Roman"/>
          <w:i/>
          <w:color w:val="000000"/>
          <w:sz w:val="24"/>
          <w:szCs w:val="24"/>
        </w:rPr>
        <w:t xml:space="preserve"> han reducido sustancialmente </w:t>
      </w:r>
      <w:r w:rsidR="000F7A26">
        <w:rPr>
          <w:rFonts w:ascii="Times New Roman" w:hAnsi="Times New Roman"/>
          <w:i/>
          <w:color w:val="000000"/>
          <w:sz w:val="24"/>
          <w:szCs w:val="24"/>
        </w:rPr>
        <w:t>el margen de maniobra fiscal</w:t>
      </w:r>
      <w:r w:rsidR="00114F2A">
        <w:rPr>
          <w:rFonts w:ascii="Times New Roman" w:hAnsi="Times New Roman"/>
          <w:i/>
          <w:color w:val="000000"/>
          <w:sz w:val="24"/>
          <w:szCs w:val="24"/>
        </w:rPr>
        <w:t>, no obstante</w:t>
      </w:r>
      <w:r w:rsidR="00EC4A3D">
        <w:rPr>
          <w:rFonts w:ascii="Times New Roman" w:hAnsi="Times New Roman"/>
          <w:i/>
          <w:color w:val="000000"/>
          <w:sz w:val="24"/>
          <w:szCs w:val="24"/>
        </w:rPr>
        <w:t>;</w:t>
      </w:r>
      <w:r w:rsidR="00114F2A">
        <w:rPr>
          <w:rFonts w:ascii="Times New Roman" w:hAnsi="Times New Roman"/>
          <w:i/>
          <w:color w:val="000000"/>
          <w:sz w:val="24"/>
          <w:szCs w:val="24"/>
        </w:rPr>
        <w:t xml:space="preserve"> el Gobierno Nacional ha realizado un gran esfuerzo para</w:t>
      </w:r>
      <w:r w:rsidR="003C2EBA">
        <w:rPr>
          <w:rFonts w:ascii="Times New Roman" w:hAnsi="Times New Roman"/>
          <w:i/>
          <w:color w:val="000000"/>
          <w:sz w:val="24"/>
          <w:szCs w:val="24"/>
        </w:rPr>
        <w:t xml:space="preserve"> </w:t>
      </w:r>
      <w:r w:rsidR="00114F2A">
        <w:rPr>
          <w:rFonts w:ascii="Times New Roman" w:hAnsi="Times New Roman"/>
          <w:i/>
          <w:color w:val="000000"/>
          <w:sz w:val="24"/>
          <w:szCs w:val="24"/>
        </w:rPr>
        <w:t>sostener y ampliar</w:t>
      </w:r>
      <w:r w:rsidR="003C2EBA">
        <w:rPr>
          <w:rFonts w:ascii="Times New Roman" w:hAnsi="Times New Roman"/>
          <w:i/>
          <w:color w:val="000000"/>
          <w:sz w:val="24"/>
          <w:szCs w:val="24"/>
        </w:rPr>
        <w:t xml:space="preserve"> los programas sociales, la</w:t>
      </w:r>
      <w:r w:rsidR="0059774E">
        <w:rPr>
          <w:rFonts w:ascii="Times New Roman" w:hAnsi="Times New Roman"/>
          <w:i/>
          <w:color w:val="000000"/>
          <w:sz w:val="24"/>
          <w:szCs w:val="24"/>
        </w:rPr>
        <w:t xml:space="preserve"> construcción de </w:t>
      </w:r>
      <w:r w:rsidR="003C2EBA">
        <w:rPr>
          <w:rFonts w:ascii="Times New Roman" w:hAnsi="Times New Roman"/>
          <w:i/>
          <w:color w:val="000000"/>
          <w:sz w:val="24"/>
          <w:szCs w:val="24"/>
        </w:rPr>
        <w:t>viviendas</w:t>
      </w:r>
      <w:r w:rsidR="00114F2A">
        <w:rPr>
          <w:rFonts w:ascii="Times New Roman" w:hAnsi="Times New Roman"/>
          <w:i/>
          <w:color w:val="000000"/>
          <w:sz w:val="24"/>
          <w:szCs w:val="24"/>
        </w:rPr>
        <w:t xml:space="preserve"> dignas</w:t>
      </w:r>
      <w:r w:rsidR="004C100C">
        <w:rPr>
          <w:rFonts w:ascii="Times New Roman" w:hAnsi="Times New Roman"/>
          <w:i/>
          <w:color w:val="000000"/>
          <w:sz w:val="24"/>
          <w:szCs w:val="24"/>
        </w:rPr>
        <w:t xml:space="preserve"> </w:t>
      </w:r>
      <w:r w:rsidR="003C2EBA">
        <w:rPr>
          <w:rFonts w:ascii="Times New Roman" w:hAnsi="Times New Roman"/>
          <w:i/>
          <w:color w:val="000000"/>
          <w:sz w:val="24"/>
          <w:szCs w:val="24"/>
        </w:rPr>
        <w:t>y la inversión pública en infraestructura</w:t>
      </w:r>
      <w:r>
        <w:rPr>
          <w:rFonts w:ascii="Times New Roman" w:hAnsi="Times New Roman"/>
          <w:i/>
          <w:color w:val="000000"/>
          <w:sz w:val="24"/>
          <w:szCs w:val="24"/>
        </w:rPr>
        <w:t>.</w:t>
      </w:r>
      <w:r w:rsidR="00B313B7">
        <w:rPr>
          <w:rFonts w:ascii="Times New Roman" w:hAnsi="Times New Roman"/>
          <w:i/>
          <w:color w:val="000000"/>
          <w:sz w:val="24"/>
          <w:szCs w:val="24"/>
        </w:rPr>
        <w:t xml:space="preserve"> </w:t>
      </w:r>
    </w:p>
    <w:p w:rsidR="0059774E" w:rsidRDefault="0059774E" w:rsidP="00D44857">
      <w:pPr>
        <w:pStyle w:val="Textoindependiente3"/>
        <w:rPr>
          <w:rFonts w:ascii="Times New Roman" w:hAnsi="Times New Roman"/>
          <w:i/>
          <w:color w:val="000000"/>
          <w:sz w:val="24"/>
          <w:szCs w:val="24"/>
        </w:rPr>
      </w:pPr>
    </w:p>
    <w:p w:rsidR="00CB43CB" w:rsidRDefault="0090164A" w:rsidP="0059774E">
      <w:pPr>
        <w:pStyle w:val="Textoindependiente3"/>
        <w:ind w:firstLine="1985"/>
        <w:rPr>
          <w:rFonts w:ascii="Times New Roman" w:hAnsi="Times New Roman"/>
          <w:i/>
          <w:color w:val="000000"/>
          <w:sz w:val="24"/>
          <w:szCs w:val="24"/>
        </w:rPr>
      </w:pPr>
      <w:r>
        <w:rPr>
          <w:rFonts w:ascii="Times New Roman" w:hAnsi="Times New Roman"/>
          <w:i/>
          <w:color w:val="000000"/>
          <w:sz w:val="24"/>
          <w:szCs w:val="24"/>
        </w:rPr>
        <w:t>En este contexto de escasez de recursos y de</w:t>
      </w:r>
      <w:r w:rsidRPr="002F148F">
        <w:rPr>
          <w:rFonts w:ascii="Times New Roman" w:hAnsi="Times New Roman"/>
          <w:i/>
          <w:color w:val="000000"/>
          <w:sz w:val="24"/>
          <w:szCs w:val="24"/>
        </w:rPr>
        <w:t xml:space="preserve"> </w:t>
      </w:r>
      <w:r w:rsidR="0059774E">
        <w:rPr>
          <w:rFonts w:ascii="Times New Roman" w:hAnsi="Times New Roman"/>
          <w:i/>
          <w:color w:val="000000"/>
          <w:sz w:val="24"/>
          <w:szCs w:val="24"/>
        </w:rPr>
        <w:t xml:space="preserve">crecientes </w:t>
      </w:r>
      <w:r w:rsidRPr="002F148F">
        <w:rPr>
          <w:rFonts w:ascii="Times New Roman" w:hAnsi="Times New Roman"/>
          <w:i/>
          <w:color w:val="000000"/>
          <w:sz w:val="24"/>
          <w:szCs w:val="24"/>
        </w:rPr>
        <w:t xml:space="preserve">necesidades </w:t>
      </w:r>
      <w:r>
        <w:rPr>
          <w:rFonts w:ascii="Times New Roman" w:hAnsi="Times New Roman"/>
          <w:i/>
          <w:color w:val="000000"/>
          <w:sz w:val="24"/>
          <w:szCs w:val="24"/>
        </w:rPr>
        <w:t>de la</w:t>
      </w:r>
      <w:r w:rsidRPr="002F148F">
        <w:rPr>
          <w:rFonts w:ascii="Times New Roman" w:hAnsi="Times New Roman"/>
          <w:i/>
          <w:color w:val="000000"/>
          <w:sz w:val="24"/>
          <w:szCs w:val="24"/>
        </w:rPr>
        <w:t xml:space="preserve"> población, </w:t>
      </w:r>
      <w:r>
        <w:rPr>
          <w:rFonts w:ascii="Times New Roman" w:hAnsi="Times New Roman"/>
          <w:i/>
          <w:color w:val="000000"/>
          <w:sz w:val="24"/>
          <w:szCs w:val="24"/>
        </w:rPr>
        <w:t>el propósito del Gobierno Naciona</w:t>
      </w:r>
      <w:r w:rsidR="00BB6377">
        <w:rPr>
          <w:rFonts w:ascii="Times New Roman" w:hAnsi="Times New Roman"/>
          <w:i/>
          <w:color w:val="000000"/>
          <w:sz w:val="24"/>
          <w:szCs w:val="24"/>
        </w:rPr>
        <w:t>l</w:t>
      </w:r>
      <w:r>
        <w:rPr>
          <w:rFonts w:ascii="Times New Roman" w:hAnsi="Times New Roman"/>
          <w:i/>
          <w:color w:val="000000"/>
          <w:sz w:val="24"/>
          <w:szCs w:val="24"/>
        </w:rPr>
        <w:t xml:space="preserve"> </w:t>
      </w:r>
      <w:r w:rsidR="00B313B7">
        <w:rPr>
          <w:rFonts w:ascii="Times New Roman" w:hAnsi="Times New Roman"/>
          <w:i/>
          <w:color w:val="000000"/>
          <w:sz w:val="24"/>
          <w:szCs w:val="24"/>
        </w:rPr>
        <w:t>ha sido y seguirá siendo</w:t>
      </w:r>
      <w:r>
        <w:rPr>
          <w:rFonts w:ascii="Times New Roman" w:hAnsi="Times New Roman"/>
          <w:i/>
          <w:color w:val="000000"/>
          <w:sz w:val="24"/>
          <w:szCs w:val="24"/>
        </w:rPr>
        <w:t xml:space="preserve"> </w:t>
      </w:r>
      <w:r w:rsidR="00DF5877">
        <w:rPr>
          <w:rFonts w:ascii="Times New Roman" w:hAnsi="Times New Roman"/>
          <w:i/>
          <w:color w:val="000000"/>
          <w:sz w:val="24"/>
          <w:szCs w:val="24"/>
        </w:rPr>
        <w:t xml:space="preserve">optimizar el uso de los recursos del Estado y </w:t>
      </w:r>
      <w:r>
        <w:rPr>
          <w:rFonts w:ascii="Times New Roman" w:hAnsi="Times New Roman"/>
          <w:i/>
          <w:color w:val="000000"/>
          <w:sz w:val="24"/>
          <w:szCs w:val="24"/>
        </w:rPr>
        <w:t xml:space="preserve">priorizar las políticas </w:t>
      </w:r>
      <w:r w:rsidR="00B313B7">
        <w:rPr>
          <w:rFonts w:ascii="Times New Roman" w:hAnsi="Times New Roman"/>
          <w:i/>
          <w:color w:val="000000"/>
          <w:sz w:val="24"/>
          <w:szCs w:val="24"/>
        </w:rPr>
        <w:t xml:space="preserve">con alto impacto </w:t>
      </w:r>
      <w:r w:rsidR="0059774E">
        <w:rPr>
          <w:rFonts w:ascii="Times New Roman" w:hAnsi="Times New Roman"/>
          <w:i/>
          <w:color w:val="000000"/>
          <w:sz w:val="24"/>
          <w:szCs w:val="24"/>
        </w:rPr>
        <w:t xml:space="preserve">económico y </w:t>
      </w:r>
      <w:r w:rsidR="00B313B7">
        <w:rPr>
          <w:rFonts w:ascii="Times New Roman" w:hAnsi="Times New Roman"/>
          <w:i/>
          <w:color w:val="000000"/>
          <w:sz w:val="24"/>
          <w:szCs w:val="24"/>
        </w:rPr>
        <w:t>social</w:t>
      </w:r>
      <w:r>
        <w:rPr>
          <w:rFonts w:ascii="Times New Roman" w:hAnsi="Times New Roman"/>
          <w:i/>
          <w:color w:val="000000"/>
          <w:sz w:val="24"/>
          <w:szCs w:val="24"/>
        </w:rPr>
        <w:t>.</w:t>
      </w:r>
      <w:r w:rsidR="00851181">
        <w:rPr>
          <w:rFonts w:ascii="Times New Roman" w:hAnsi="Times New Roman"/>
          <w:i/>
          <w:color w:val="000000"/>
          <w:sz w:val="24"/>
          <w:szCs w:val="24"/>
        </w:rPr>
        <w:t xml:space="preserve"> </w:t>
      </w:r>
    </w:p>
    <w:p w:rsidR="0090164A" w:rsidRPr="00B313B7" w:rsidRDefault="0090164A" w:rsidP="00D44857">
      <w:pPr>
        <w:pStyle w:val="Textoindependiente3"/>
        <w:rPr>
          <w:rFonts w:ascii="Times New Roman" w:hAnsi="Times New Roman"/>
          <w:i/>
          <w:color w:val="000000"/>
          <w:sz w:val="24"/>
          <w:szCs w:val="24"/>
          <w:lang w:val="es-ES"/>
        </w:rPr>
      </w:pPr>
    </w:p>
    <w:p w:rsidR="005E0857" w:rsidRDefault="003C2EBA" w:rsidP="001244CC">
      <w:pPr>
        <w:pStyle w:val="Textoindependiente3"/>
        <w:ind w:firstLine="1985"/>
        <w:rPr>
          <w:rFonts w:ascii="Times New Roman" w:hAnsi="Times New Roman"/>
          <w:i/>
          <w:color w:val="000000"/>
          <w:sz w:val="24"/>
          <w:szCs w:val="24"/>
        </w:rPr>
      </w:pPr>
      <w:r w:rsidRPr="006D2A03">
        <w:rPr>
          <w:rFonts w:ascii="Times New Roman" w:hAnsi="Times New Roman"/>
          <w:i/>
          <w:color w:val="000000"/>
          <w:sz w:val="24"/>
          <w:szCs w:val="24"/>
        </w:rPr>
        <w:t>Por primera vez</w:t>
      </w:r>
      <w:r w:rsidR="00D44857">
        <w:rPr>
          <w:rFonts w:ascii="Times New Roman" w:hAnsi="Times New Roman"/>
          <w:i/>
          <w:color w:val="000000"/>
          <w:sz w:val="24"/>
          <w:szCs w:val="24"/>
        </w:rPr>
        <w:t>,</w:t>
      </w:r>
      <w:r w:rsidRPr="006D2A03">
        <w:rPr>
          <w:rFonts w:ascii="Times New Roman" w:hAnsi="Times New Roman"/>
          <w:i/>
          <w:color w:val="000000"/>
          <w:sz w:val="24"/>
          <w:szCs w:val="24"/>
        </w:rPr>
        <w:t xml:space="preserve"> en más de diez años, en el </w:t>
      </w:r>
      <w:r w:rsidR="004004AC">
        <w:rPr>
          <w:rFonts w:ascii="Times New Roman" w:hAnsi="Times New Roman"/>
          <w:i/>
          <w:color w:val="000000"/>
          <w:sz w:val="24"/>
          <w:szCs w:val="24"/>
        </w:rPr>
        <w:t xml:space="preserve">año </w:t>
      </w:r>
      <w:r w:rsidRPr="006D2A03">
        <w:rPr>
          <w:rFonts w:ascii="Times New Roman" w:hAnsi="Times New Roman"/>
          <w:i/>
          <w:color w:val="000000"/>
          <w:sz w:val="24"/>
          <w:szCs w:val="24"/>
        </w:rPr>
        <w:t xml:space="preserve">2016 cerraremos con un crecimiento nominal de los gastos en remuneraciones de </w:t>
      </w:r>
      <w:r w:rsidR="00154AB2">
        <w:rPr>
          <w:rFonts w:ascii="Times New Roman" w:hAnsi="Times New Roman"/>
          <w:i/>
          <w:color w:val="000000"/>
          <w:sz w:val="24"/>
          <w:szCs w:val="24"/>
        </w:rPr>
        <w:t xml:space="preserve">alrededor </w:t>
      </w:r>
      <w:r w:rsidR="0051011A">
        <w:rPr>
          <w:rFonts w:ascii="Times New Roman" w:hAnsi="Times New Roman"/>
          <w:i/>
          <w:color w:val="000000"/>
          <w:sz w:val="24"/>
          <w:szCs w:val="24"/>
        </w:rPr>
        <w:t>del 2</w:t>
      </w:r>
      <w:r w:rsidRPr="006D2A03">
        <w:rPr>
          <w:rFonts w:ascii="Times New Roman" w:hAnsi="Times New Roman"/>
          <w:i/>
          <w:color w:val="000000"/>
          <w:sz w:val="24"/>
          <w:szCs w:val="24"/>
        </w:rPr>
        <w:t xml:space="preserve">%, lo cual </w:t>
      </w:r>
      <w:r w:rsidR="005E0857" w:rsidRPr="006D2A03">
        <w:rPr>
          <w:rFonts w:ascii="Times New Roman" w:hAnsi="Times New Roman"/>
          <w:i/>
          <w:color w:val="000000"/>
          <w:sz w:val="24"/>
          <w:szCs w:val="24"/>
        </w:rPr>
        <w:t>significará la reducción de</w:t>
      </w:r>
      <w:r w:rsidR="00AD75B9">
        <w:rPr>
          <w:rFonts w:ascii="Times New Roman" w:hAnsi="Times New Roman"/>
          <w:i/>
          <w:color w:val="000000"/>
          <w:sz w:val="24"/>
          <w:szCs w:val="24"/>
        </w:rPr>
        <w:t xml:space="preserve"> </w:t>
      </w:r>
      <w:r w:rsidR="005E0857" w:rsidRPr="006D2A03">
        <w:rPr>
          <w:rFonts w:ascii="Times New Roman" w:hAnsi="Times New Roman"/>
          <w:i/>
          <w:color w:val="000000"/>
          <w:sz w:val="24"/>
          <w:szCs w:val="24"/>
        </w:rPr>
        <w:t>l</w:t>
      </w:r>
      <w:r w:rsidR="00AD75B9">
        <w:rPr>
          <w:rFonts w:ascii="Times New Roman" w:hAnsi="Times New Roman"/>
          <w:i/>
          <w:color w:val="000000"/>
          <w:sz w:val="24"/>
          <w:szCs w:val="24"/>
        </w:rPr>
        <w:t>a carga del</w:t>
      </w:r>
      <w:r w:rsidR="005E0857" w:rsidRPr="006D2A03">
        <w:rPr>
          <w:rFonts w:ascii="Times New Roman" w:hAnsi="Times New Roman"/>
          <w:i/>
          <w:color w:val="000000"/>
          <w:sz w:val="24"/>
          <w:szCs w:val="24"/>
        </w:rPr>
        <w:t xml:space="preserve"> gasto salarial en 0,5% del PIB</w:t>
      </w:r>
      <w:r w:rsidRPr="006D2A03">
        <w:rPr>
          <w:rFonts w:ascii="Times New Roman" w:hAnsi="Times New Roman"/>
          <w:i/>
          <w:color w:val="000000"/>
          <w:sz w:val="24"/>
          <w:szCs w:val="24"/>
        </w:rPr>
        <w:t>.</w:t>
      </w:r>
    </w:p>
    <w:p w:rsidR="005E0857" w:rsidRDefault="005E0857" w:rsidP="000E7D89">
      <w:pPr>
        <w:pStyle w:val="Textoindependiente3"/>
        <w:rPr>
          <w:rFonts w:ascii="Times New Roman" w:hAnsi="Times New Roman"/>
          <w:i/>
          <w:color w:val="000000"/>
          <w:sz w:val="24"/>
          <w:szCs w:val="24"/>
        </w:rPr>
      </w:pPr>
    </w:p>
    <w:p w:rsidR="005E0857" w:rsidRPr="001244CC" w:rsidRDefault="005E0857" w:rsidP="001244CC">
      <w:pPr>
        <w:pStyle w:val="Textoindependiente3"/>
        <w:ind w:firstLine="1985"/>
        <w:rPr>
          <w:rFonts w:ascii="Times New Roman" w:hAnsi="Times New Roman"/>
          <w:i/>
          <w:color w:val="000000"/>
          <w:sz w:val="24"/>
          <w:szCs w:val="24"/>
        </w:rPr>
      </w:pPr>
      <w:r w:rsidRPr="001244CC">
        <w:rPr>
          <w:rFonts w:ascii="Times New Roman" w:hAnsi="Times New Roman"/>
          <w:i/>
          <w:color w:val="000000"/>
          <w:sz w:val="24"/>
          <w:szCs w:val="24"/>
        </w:rPr>
        <w:t xml:space="preserve">El Gobierno Nacional, siguiendo con esta línea </w:t>
      </w:r>
      <w:r w:rsidR="0002032C">
        <w:rPr>
          <w:rFonts w:ascii="Times New Roman" w:hAnsi="Times New Roman"/>
          <w:i/>
          <w:color w:val="000000"/>
          <w:sz w:val="24"/>
          <w:szCs w:val="24"/>
        </w:rPr>
        <w:t xml:space="preserve">de </w:t>
      </w:r>
      <w:r w:rsidRPr="001244CC">
        <w:rPr>
          <w:rFonts w:ascii="Times New Roman" w:hAnsi="Times New Roman"/>
          <w:i/>
          <w:color w:val="000000"/>
          <w:sz w:val="24"/>
          <w:szCs w:val="24"/>
        </w:rPr>
        <w:t>política</w:t>
      </w:r>
      <w:r w:rsidR="007B30B3">
        <w:rPr>
          <w:rFonts w:ascii="Times New Roman" w:hAnsi="Times New Roman"/>
          <w:i/>
          <w:color w:val="000000"/>
          <w:sz w:val="24"/>
          <w:szCs w:val="24"/>
        </w:rPr>
        <w:t xml:space="preserve"> de Estado</w:t>
      </w:r>
      <w:r w:rsidRPr="001244CC">
        <w:rPr>
          <w:rFonts w:ascii="Times New Roman" w:hAnsi="Times New Roman"/>
          <w:i/>
          <w:color w:val="000000"/>
          <w:sz w:val="24"/>
          <w:szCs w:val="24"/>
        </w:rPr>
        <w:t>, ha decidido no incorporar</w:t>
      </w:r>
      <w:r w:rsidR="006A236E" w:rsidRPr="001244CC">
        <w:rPr>
          <w:rFonts w:ascii="Times New Roman" w:hAnsi="Times New Roman"/>
          <w:i/>
          <w:color w:val="000000"/>
          <w:sz w:val="24"/>
          <w:szCs w:val="24"/>
        </w:rPr>
        <w:t xml:space="preserve"> </w:t>
      </w:r>
      <w:r w:rsidR="00AD75B9">
        <w:rPr>
          <w:rFonts w:ascii="Times New Roman" w:hAnsi="Times New Roman"/>
          <w:i/>
          <w:color w:val="000000"/>
          <w:sz w:val="24"/>
          <w:szCs w:val="24"/>
        </w:rPr>
        <w:t xml:space="preserve">un </w:t>
      </w:r>
      <w:r w:rsidRPr="001244CC">
        <w:rPr>
          <w:rFonts w:ascii="Times New Roman" w:hAnsi="Times New Roman"/>
          <w:i/>
          <w:color w:val="000000"/>
          <w:sz w:val="24"/>
          <w:szCs w:val="24"/>
        </w:rPr>
        <w:t xml:space="preserve">incremento </w:t>
      </w:r>
      <w:r w:rsidR="006A236E" w:rsidRPr="001244CC">
        <w:rPr>
          <w:rFonts w:ascii="Times New Roman" w:hAnsi="Times New Roman"/>
          <w:i/>
          <w:color w:val="000000"/>
          <w:sz w:val="24"/>
          <w:szCs w:val="24"/>
        </w:rPr>
        <w:t>salarial para funcionarios público</w:t>
      </w:r>
      <w:r w:rsidR="003C2EBA" w:rsidRPr="001244CC">
        <w:rPr>
          <w:rFonts w:ascii="Times New Roman" w:hAnsi="Times New Roman"/>
          <w:i/>
          <w:color w:val="000000"/>
          <w:sz w:val="24"/>
          <w:szCs w:val="24"/>
        </w:rPr>
        <w:t>s.</w:t>
      </w:r>
      <w:r w:rsidRPr="001244CC">
        <w:rPr>
          <w:rFonts w:ascii="Times New Roman" w:hAnsi="Times New Roman"/>
          <w:i/>
          <w:color w:val="000000"/>
          <w:sz w:val="24"/>
          <w:szCs w:val="24"/>
        </w:rPr>
        <w:t xml:space="preserve"> Esto permitirá que programas sociales emblemáticos</w:t>
      </w:r>
      <w:r w:rsidR="00FA1D8E">
        <w:rPr>
          <w:rFonts w:ascii="Times New Roman" w:hAnsi="Times New Roman"/>
          <w:i/>
          <w:color w:val="000000"/>
          <w:sz w:val="24"/>
          <w:szCs w:val="24"/>
        </w:rPr>
        <w:t xml:space="preserve"> que apunta</w:t>
      </w:r>
      <w:r w:rsidR="008B5A88">
        <w:rPr>
          <w:rFonts w:ascii="Times New Roman" w:hAnsi="Times New Roman"/>
          <w:i/>
          <w:color w:val="000000"/>
          <w:sz w:val="24"/>
          <w:szCs w:val="24"/>
        </w:rPr>
        <w:t>n</w:t>
      </w:r>
      <w:r w:rsidR="00FA1D8E">
        <w:rPr>
          <w:rFonts w:ascii="Times New Roman" w:hAnsi="Times New Roman"/>
          <w:i/>
          <w:color w:val="000000"/>
          <w:sz w:val="24"/>
          <w:szCs w:val="24"/>
        </w:rPr>
        <w:t xml:space="preserve"> al mejoramiento de la </w:t>
      </w:r>
      <w:r w:rsidR="0002032C">
        <w:rPr>
          <w:rFonts w:ascii="Times New Roman" w:hAnsi="Times New Roman"/>
          <w:i/>
          <w:color w:val="000000"/>
          <w:sz w:val="24"/>
          <w:szCs w:val="24"/>
        </w:rPr>
        <w:t>calidad de vida</w:t>
      </w:r>
      <w:r w:rsidR="00FA1D8E">
        <w:rPr>
          <w:rFonts w:ascii="Times New Roman" w:hAnsi="Times New Roman"/>
          <w:i/>
          <w:color w:val="000000"/>
          <w:sz w:val="24"/>
          <w:szCs w:val="24"/>
        </w:rPr>
        <w:t xml:space="preserve"> en que </w:t>
      </w:r>
      <w:r w:rsidR="0002032C">
        <w:rPr>
          <w:rFonts w:ascii="Times New Roman" w:hAnsi="Times New Roman"/>
          <w:i/>
          <w:color w:val="000000"/>
          <w:sz w:val="24"/>
          <w:szCs w:val="24"/>
        </w:rPr>
        <w:t>se encuentran compatriotas paraguayos en situación de pobreza</w:t>
      </w:r>
      <w:r w:rsidRPr="001244CC">
        <w:rPr>
          <w:rFonts w:ascii="Times New Roman" w:hAnsi="Times New Roman"/>
          <w:i/>
          <w:color w:val="000000"/>
          <w:sz w:val="24"/>
          <w:szCs w:val="24"/>
        </w:rPr>
        <w:t xml:space="preserve">, como Tekoporá, llegue a un total de 150 mil familias beneficiarias. Esta ampliación en la cobertura </w:t>
      </w:r>
      <w:r w:rsidR="00AD75B9">
        <w:rPr>
          <w:rFonts w:ascii="Times New Roman" w:hAnsi="Times New Roman"/>
          <w:i/>
          <w:color w:val="000000"/>
          <w:sz w:val="24"/>
          <w:szCs w:val="24"/>
        </w:rPr>
        <w:t xml:space="preserve">que impulsa el Gobierno Nacional </w:t>
      </w:r>
      <w:r w:rsidRPr="001244CC">
        <w:rPr>
          <w:rFonts w:ascii="Times New Roman" w:hAnsi="Times New Roman"/>
          <w:i/>
          <w:color w:val="000000"/>
          <w:sz w:val="24"/>
          <w:szCs w:val="24"/>
        </w:rPr>
        <w:t>representaría un incremento en el número de beneficiarios en más del 80% en relación al 2013.</w:t>
      </w:r>
    </w:p>
    <w:p w:rsidR="007616A1" w:rsidRDefault="007616A1">
      <w:pPr>
        <w:spacing w:after="200" w:line="276" w:lineRule="auto"/>
        <w:rPr>
          <w:i/>
          <w:color w:val="000000"/>
          <w:spacing w:val="0"/>
          <w:lang w:val="es-PY"/>
        </w:rPr>
      </w:pPr>
      <w:r>
        <w:rPr>
          <w:i/>
          <w:color w:val="000000"/>
        </w:rPr>
        <w:br w:type="page"/>
      </w:r>
    </w:p>
    <w:p w:rsidR="007616A1" w:rsidRPr="00484D7D" w:rsidRDefault="007616A1" w:rsidP="007616A1">
      <w:pPr>
        <w:jc w:val="center"/>
        <w:rPr>
          <w:i/>
          <w:color w:val="000000" w:themeColor="text1"/>
          <w:lang w:val="es-ES_tradnl"/>
        </w:rPr>
      </w:pPr>
      <w:r>
        <w:rPr>
          <w:i/>
          <w:color w:val="000000" w:themeColor="text1"/>
          <w:lang w:val="es-ES_tradnl"/>
        </w:rPr>
        <w:lastRenderedPageBreak/>
        <w:t>-3-</w:t>
      </w:r>
    </w:p>
    <w:p w:rsidR="007616A1" w:rsidRDefault="007616A1" w:rsidP="007616A1">
      <w:pPr>
        <w:jc w:val="both"/>
        <w:rPr>
          <w:i/>
          <w:color w:val="000000" w:themeColor="text1"/>
          <w:lang w:val="es-ES_tradnl"/>
        </w:rPr>
      </w:pPr>
    </w:p>
    <w:p w:rsidR="007616A1" w:rsidRPr="00484D7D" w:rsidRDefault="007616A1" w:rsidP="007616A1">
      <w:pPr>
        <w:jc w:val="both"/>
        <w:rPr>
          <w:i/>
          <w:color w:val="000000" w:themeColor="text1"/>
          <w:lang w:val="es-ES_tradnl"/>
        </w:rPr>
      </w:pPr>
    </w:p>
    <w:p w:rsidR="007616A1" w:rsidRPr="00484D7D" w:rsidRDefault="007616A1" w:rsidP="007616A1">
      <w:pPr>
        <w:jc w:val="both"/>
        <w:rPr>
          <w:i/>
          <w:color w:val="000000" w:themeColor="text1"/>
          <w:lang w:val="es-ES_tradnl"/>
        </w:rPr>
      </w:pPr>
    </w:p>
    <w:p w:rsidR="007616A1" w:rsidRPr="00484D7D" w:rsidRDefault="007616A1" w:rsidP="007616A1">
      <w:pPr>
        <w:jc w:val="both"/>
        <w:rPr>
          <w:i/>
          <w:color w:val="000000" w:themeColor="text1"/>
          <w:lang w:val="es-ES_tradnl"/>
        </w:rPr>
      </w:pPr>
      <w:r w:rsidRPr="00484D7D">
        <w:rPr>
          <w:i/>
          <w:color w:val="000000" w:themeColor="text1"/>
          <w:lang w:val="es-ES_tradnl"/>
        </w:rPr>
        <w:t>N°________</w:t>
      </w:r>
    </w:p>
    <w:p w:rsidR="007616A1" w:rsidRPr="00484D7D" w:rsidRDefault="007616A1" w:rsidP="007616A1">
      <w:pPr>
        <w:jc w:val="both"/>
        <w:rPr>
          <w:i/>
          <w:color w:val="000000" w:themeColor="text1"/>
          <w:lang w:val="es-ES_tradnl"/>
        </w:rPr>
      </w:pPr>
    </w:p>
    <w:p w:rsidR="007616A1" w:rsidRPr="00484D7D" w:rsidRDefault="007616A1" w:rsidP="007616A1">
      <w:pPr>
        <w:jc w:val="both"/>
        <w:rPr>
          <w:i/>
          <w:color w:val="000000" w:themeColor="text1"/>
          <w:lang w:val="es-ES_tradnl"/>
        </w:rPr>
      </w:pPr>
    </w:p>
    <w:p w:rsidR="005E0857" w:rsidRDefault="005E0857" w:rsidP="007616A1">
      <w:pPr>
        <w:pStyle w:val="Textoindependiente3"/>
        <w:rPr>
          <w:rFonts w:ascii="Times New Roman" w:hAnsi="Times New Roman"/>
          <w:i/>
          <w:color w:val="000000"/>
          <w:sz w:val="24"/>
          <w:szCs w:val="24"/>
        </w:rPr>
      </w:pPr>
    </w:p>
    <w:p w:rsidR="00CB43CB" w:rsidRDefault="006A236E" w:rsidP="001244CC">
      <w:pPr>
        <w:pStyle w:val="Textoindependiente3"/>
        <w:ind w:firstLine="1985"/>
        <w:rPr>
          <w:rFonts w:ascii="Times New Roman" w:hAnsi="Times New Roman"/>
          <w:i/>
          <w:color w:val="000000"/>
          <w:sz w:val="24"/>
          <w:szCs w:val="24"/>
        </w:rPr>
      </w:pPr>
      <w:r>
        <w:rPr>
          <w:rFonts w:ascii="Times New Roman" w:hAnsi="Times New Roman"/>
          <w:i/>
          <w:color w:val="000000"/>
          <w:sz w:val="24"/>
          <w:szCs w:val="24"/>
        </w:rPr>
        <w:t xml:space="preserve">Respetar </w:t>
      </w:r>
      <w:r w:rsidR="00A46151">
        <w:rPr>
          <w:rFonts w:ascii="Times New Roman" w:hAnsi="Times New Roman"/>
          <w:i/>
          <w:color w:val="000000"/>
          <w:sz w:val="24"/>
          <w:szCs w:val="24"/>
        </w:rPr>
        <w:t>la línea de</w:t>
      </w:r>
      <w:r>
        <w:rPr>
          <w:rFonts w:ascii="Times New Roman" w:hAnsi="Times New Roman"/>
          <w:i/>
          <w:color w:val="000000"/>
          <w:sz w:val="24"/>
          <w:szCs w:val="24"/>
        </w:rPr>
        <w:t xml:space="preserve"> política </w:t>
      </w:r>
      <w:r w:rsidR="00A46151">
        <w:rPr>
          <w:rFonts w:ascii="Times New Roman" w:hAnsi="Times New Roman"/>
          <w:i/>
          <w:color w:val="000000"/>
          <w:sz w:val="24"/>
          <w:szCs w:val="24"/>
        </w:rPr>
        <w:t xml:space="preserve">de no incremento salarial </w:t>
      </w:r>
      <w:r>
        <w:rPr>
          <w:rFonts w:ascii="Times New Roman" w:hAnsi="Times New Roman"/>
          <w:i/>
          <w:color w:val="000000"/>
          <w:sz w:val="24"/>
          <w:szCs w:val="24"/>
        </w:rPr>
        <w:t xml:space="preserve">será fundamental para asegurar la continuidad de </w:t>
      </w:r>
      <w:r w:rsidR="00AD75B9">
        <w:rPr>
          <w:rFonts w:ascii="Times New Roman" w:hAnsi="Times New Roman"/>
          <w:i/>
          <w:color w:val="000000"/>
          <w:sz w:val="24"/>
          <w:szCs w:val="24"/>
        </w:rPr>
        <w:t xml:space="preserve">los demás </w:t>
      </w:r>
      <w:r w:rsidR="00B313B7">
        <w:rPr>
          <w:rFonts w:ascii="Times New Roman" w:hAnsi="Times New Roman"/>
          <w:i/>
          <w:color w:val="000000"/>
          <w:sz w:val="24"/>
          <w:szCs w:val="24"/>
        </w:rPr>
        <w:t>programas</w:t>
      </w:r>
      <w:r w:rsidR="00A46151">
        <w:rPr>
          <w:rFonts w:ascii="Times New Roman" w:hAnsi="Times New Roman"/>
          <w:i/>
          <w:color w:val="000000"/>
          <w:sz w:val="24"/>
          <w:szCs w:val="24"/>
        </w:rPr>
        <w:t xml:space="preserve"> sociales</w:t>
      </w:r>
      <w:r w:rsidR="00B313B7">
        <w:rPr>
          <w:rFonts w:ascii="Times New Roman" w:hAnsi="Times New Roman"/>
          <w:i/>
          <w:color w:val="000000"/>
          <w:sz w:val="24"/>
          <w:szCs w:val="24"/>
        </w:rPr>
        <w:t xml:space="preserve"> dirigidos a </w:t>
      </w:r>
      <w:r w:rsidR="00536933">
        <w:rPr>
          <w:rFonts w:ascii="Times New Roman" w:hAnsi="Times New Roman"/>
          <w:i/>
          <w:color w:val="000000"/>
          <w:sz w:val="24"/>
          <w:szCs w:val="24"/>
        </w:rPr>
        <w:t xml:space="preserve">ayudar a </w:t>
      </w:r>
      <w:r w:rsidR="00B313B7">
        <w:rPr>
          <w:rFonts w:ascii="Times New Roman" w:hAnsi="Times New Roman"/>
          <w:i/>
          <w:color w:val="000000"/>
          <w:sz w:val="24"/>
          <w:szCs w:val="24"/>
        </w:rPr>
        <w:t>familias pobres extremas</w:t>
      </w:r>
      <w:r w:rsidR="00AD75B9">
        <w:rPr>
          <w:rFonts w:ascii="Times New Roman" w:hAnsi="Times New Roman"/>
          <w:i/>
          <w:color w:val="000000"/>
          <w:sz w:val="24"/>
          <w:szCs w:val="24"/>
        </w:rPr>
        <w:t>,</w:t>
      </w:r>
      <w:r w:rsidR="00B313B7">
        <w:rPr>
          <w:rFonts w:ascii="Times New Roman" w:hAnsi="Times New Roman"/>
          <w:i/>
          <w:color w:val="000000"/>
          <w:sz w:val="24"/>
          <w:szCs w:val="24"/>
        </w:rPr>
        <w:t xml:space="preserve"> </w:t>
      </w:r>
      <w:r w:rsidR="00E6067D">
        <w:rPr>
          <w:rFonts w:ascii="Times New Roman" w:hAnsi="Times New Roman"/>
          <w:i/>
          <w:color w:val="000000"/>
          <w:sz w:val="24"/>
          <w:szCs w:val="24"/>
        </w:rPr>
        <w:t xml:space="preserve">quienes son siempre </w:t>
      </w:r>
      <w:r w:rsidR="005E0857">
        <w:rPr>
          <w:rFonts w:ascii="Times New Roman" w:hAnsi="Times New Roman"/>
          <w:i/>
          <w:color w:val="000000"/>
          <w:sz w:val="24"/>
          <w:szCs w:val="24"/>
        </w:rPr>
        <w:t xml:space="preserve">las </w:t>
      </w:r>
      <w:r w:rsidR="00E6067D">
        <w:rPr>
          <w:rFonts w:ascii="Times New Roman" w:hAnsi="Times New Roman"/>
          <w:i/>
          <w:color w:val="000000"/>
          <w:sz w:val="24"/>
          <w:szCs w:val="24"/>
        </w:rPr>
        <w:t>más vulnerables a coyunturas económicas adversas</w:t>
      </w:r>
      <w:r w:rsidR="00B313B7" w:rsidRPr="001244CC">
        <w:rPr>
          <w:rFonts w:ascii="Times New Roman" w:hAnsi="Times New Roman"/>
          <w:i/>
          <w:color w:val="000000"/>
          <w:sz w:val="24"/>
          <w:szCs w:val="24"/>
        </w:rPr>
        <w:t>.</w:t>
      </w:r>
    </w:p>
    <w:p w:rsidR="003C2EBA" w:rsidRDefault="003C2EBA" w:rsidP="00063222">
      <w:pPr>
        <w:pStyle w:val="Textoindependiente3"/>
        <w:rPr>
          <w:rFonts w:ascii="Times New Roman" w:hAnsi="Times New Roman"/>
          <w:i/>
          <w:color w:val="000000"/>
          <w:sz w:val="24"/>
          <w:szCs w:val="24"/>
        </w:rPr>
      </w:pPr>
    </w:p>
    <w:p w:rsidR="00CB43CB" w:rsidRPr="001244CC" w:rsidRDefault="003C2EBA" w:rsidP="001244CC">
      <w:pPr>
        <w:pStyle w:val="Textoindependiente3"/>
        <w:ind w:firstLine="1985"/>
        <w:rPr>
          <w:rFonts w:ascii="Times New Roman" w:hAnsi="Times New Roman"/>
          <w:i/>
          <w:color w:val="000000"/>
          <w:sz w:val="24"/>
          <w:szCs w:val="24"/>
        </w:rPr>
      </w:pPr>
      <w:r>
        <w:rPr>
          <w:rFonts w:ascii="Times New Roman" w:hAnsi="Times New Roman"/>
          <w:i/>
          <w:color w:val="000000"/>
          <w:sz w:val="24"/>
          <w:szCs w:val="24"/>
        </w:rPr>
        <w:t>E</w:t>
      </w:r>
      <w:r w:rsidR="00867171">
        <w:rPr>
          <w:rFonts w:ascii="Times New Roman" w:hAnsi="Times New Roman"/>
          <w:i/>
          <w:color w:val="000000"/>
          <w:sz w:val="24"/>
          <w:szCs w:val="24"/>
        </w:rPr>
        <w:t xml:space="preserve">n respuesta a la necesidad urgente de mejorar la calidad de la educación </w:t>
      </w:r>
      <w:r w:rsidR="00A46151">
        <w:rPr>
          <w:rFonts w:ascii="Times New Roman" w:hAnsi="Times New Roman"/>
          <w:i/>
          <w:color w:val="000000"/>
          <w:sz w:val="24"/>
          <w:szCs w:val="24"/>
        </w:rPr>
        <w:t>reclamada por</w:t>
      </w:r>
      <w:r w:rsidR="00867171">
        <w:rPr>
          <w:rFonts w:ascii="Times New Roman" w:hAnsi="Times New Roman"/>
          <w:i/>
          <w:color w:val="000000"/>
          <w:sz w:val="24"/>
          <w:szCs w:val="24"/>
        </w:rPr>
        <w:t xml:space="preserve"> los jóvenes paraguayos, nuestro capital más importante, e</w:t>
      </w:r>
      <w:r>
        <w:rPr>
          <w:rFonts w:ascii="Times New Roman" w:hAnsi="Times New Roman"/>
          <w:i/>
          <w:color w:val="000000"/>
          <w:sz w:val="24"/>
          <w:szCs w:val="24"/>
        </w:rPr>
        <w:t xml:space="preserve">l presupuesto asignado </w:t>
      </w:r>
      <w:r w:rsidR="0051011A">
        <w:rPr>
          <w:rFonts w:ascii="Times New Roman" w:hAnsi="Times New Roman"/>
          <w:i/>
          <w:color w:val="000000"/>
          <w:sz w:val="24"/>
          <w:szCs w:val="24"/>
        </w:rPr>
        <w:t xml:space="preserve">en el Proyecto de Ley </w:t>
      </w:r>
      <w:r>
        <w:rPr>
          <w:rFonts w:ascii="Times New Roman" w:hAnsi="Times New Roman"/>
          <w:i/>
          <w:color w:val="000000"/>
          <w:sz w:val="24"/>
          <w:szCs w:val="24"/>
        </w:rPr>
        <w:t>al Ministerio de Educación</w:t>
      </w:r>
      <w:r w:rsidR="005F3172">
        <w:rPr>
          <w:rFonts w:ascii="Times New Roman" w:hAnsi="Times New Roman"/>
          <w:i/>
          <w:color w:val="000000"/>
          <w:sz w:val="24"/>
          <w:szCs w:val="24"/>
        </w:rPr>
        <w:t xml:space="preserve"> </w:t>
      </w:r>
      <w:r w:rsidR="00696CB1">
        <w:rPr>
          <w:rFonts w:ascii="Times New Roman" w:hAnsi="Times New Roman"/>
          <w:i/>
          <w:color w:val="000000"/>
          <w:sz w:val="24"/>
          <w:szCs w:val="24"/>
        </w:rPr>
        <w:t>y Cultura</w:t>
      </w:r>
      <w:r w:rsidR="00D90B10">
        <w:rPr>
          <w:rFonts w:ascii="Times New Roman" w:hAnsi="Times New Roman"/>
          <w:i/>
          <w:color w:val="000000"/>
          <w:sz w:val="24"/>
          <w:szCs w:val="24"/>
        </w:rPr>
        <w:t xml:space="preserve"> </w:t>
      </w:r>
      <w:r w:rsidR="005F3172">
        <w:rPr>
          <w:rFonts w:ascii="Times New Roman" w:hAnsi="Times New Roman"/>
          <w:i/>
          <w:color w:val="000000"/>
          <w:sz w:val="24"/>
          <w:szCs w:val="24"/>
        </w:rPr>
        <w:t>(MEC)</w:t>
      </w:r>
      <w:r>
        <w:rPr>
          <w:rFonts w:ascii="Times New Roman" w:hAnsi="Times New Roman"/>
          <w:i/>
          <w:color w:val="000000"/>
          <w:sz w:val="24"/>
          <w:szCs w:val="24"/>
        </w:rPr>
        <w:t xml:space="preserve"> será </w:t>
      </w:r>
      <w:r w:rsidR="0051011A">
        <w:rPr>
          <w:rFonts w:ascii="Times New Roman" w:hAnsi="Times New Roman"/>
          <w:i/>
          <w:color w:val="000000"/>
          <w:sz w:val="24"/>
          <w:szCs w:val="24"/>
        </w:rPr>
        <w:t xml:space="preserve">uno de los de </w:t>
      </w:r>
      <w:r>
        <w:rPr>
          <w:rFonts w:ascii="Times New Roman" w:hAnsi="Times New Roman"/>
          <w:i/>
          <w:color w:val="000000"/>
          <w:sz w:val="24"/>
          <w:szCs w:val="24"/>
        </w:rPr>
        <w:t>mayor crecimiento, con un</w:t>
      </w:r>
      <w:r w:rsidR="005F3172">
        <w:rPr>
          <w:rFonts w:ascii="Times New Roman" w:hAnsi="Times New Roman"/>
          <w:i/>
          <w:color w:val="000000"/>
          <w:sz w:val="24"/>
          <w:szCs w:val="24"/>
        </w:rPr>
        <w:t xml:space="preserve">a tasa de </w:t>
      </w:r>
      <w:r w:rsidR="006D0217">
        <w:rPr>
          <w:rFonts w:ascii="Times New Roman" w:hAnsi="Times New Roman"/>
          <w:i/>
          <w:color w:val="000000"/>
          <w:sz w:val="24"/>
          <w:szCs w:val="24"/>
        </w:rPr>
        <w:t>incremento</w:t>
      </w:r>
      <w:r w:rsidR="005F3172">
        <w:rPr>
          <w:rFonts w:ascii="Times New Roman" w:hAnsi="Times New Roman"/>
          <w:i/>
          <w:color w:val="000000"/>
          <w:sz w:val="24"/>
          <w:szCs w:val="24"/>
        </w:rPr>
        <w:t xml:space="preserve"> del </w:t>
      </w:r>
      <w:r w:rsidR="0051011A">
        <w:rPr>
          <w:rFonts w:ascii="Times New Roman" w:hAnsi="Times New Roman"/>
          <w:i/>
          <w:color w:val="000000"/>
          <w:sz w:val="24"/>
          <w:szCs w:val="24"/>
        </w:rPr>
        <w:t>8</w:t>
      </w:r>
      <w:r>
        <w:rPr>
          <w:rFonts w:ascii="Times New Roman" w:hAnsi="Times New Roman"/>
          <w:i/>
          <w:color w:val="000000"/>
          <w:sz w:val="24"/>
          <w:szCs w:val="24"/>
        </w:rPr>
        <w:t>%</w:t>
      </w:r>
      <w:r w:rsidR="00A46151">
        <w:rPr>
          <w:rFonts w:ascii="Times New Roman" w:hAnsi="Times New Roman"/>
          <w:i/>
          <w:color w:val="000000"/>
          <w:sz w:val="24"/>
          <w:szCs w:val="24"/>
        </w:rPr>
        <w:t>, el cual se concentra en inversiones en infraestructura educativa</w:t>
      </w:r>
      <w:r w:rsidR="00F56B91">
        <w:rPr>
          <w:rFonts w:ascii="Times New Roman" w:hAnsi="Times New Roman"/>
          <w:i/>
          <w:color w:val="000000"/>
          <w:sz w:val="24"/>
          <w:szCs w:val="24"/>
        </w:rPr>
        <w:t>. D</w:t>
      </w:r>
      <w:r w:rsidR="005F3172">
        <w:rPr>
          <w:rFonts w:ascii="Times New Roman" w:hAnsi="Times New Roman"/>
          <w:i/>
          <w:color w:val="000000"/>
          <w:sz w:val="24"/>
          <w:szCs w:val="24"/>
        </w:rPr>
        <w:t xml:space="preserve">e esta manera </w:t>
      </w:r>
      <w:r>
        <w:rPr>
          <w:rFonts w:ascii="Times New Roman" w:hAnsi="Times New Roman"/>
          <w:i/>
          <w:color w:val="000000"/>
          <w:sz w:val="24"/>
          <w:szCs w:val="24"/>
        </w:rPr>
        <w:t>el Gobierno Nacional estará incrementando</w:t>
      </w:r>
      <w:r w:rsidR="005F3172">
        <w:rPr>
          <w:rFonts w:ascii="Times New Roman" w:hAnsi="Times New Roman"/>
          <w:i/>
          <w:color w:val="000000"/>
          <w:sz w:val="24"/>
          <w:szCs w:val="24"/>
        </w:rPr>
        <w:t xml:space="preserve"> el presupuesto de este </w:t>
      </w:r>
      <w:r w:rsidR="00A46151">
        <w:rPr>
          <w:rFonts w:ascii="Times New Roman" w:hAnsi="Times New Roman"/>
          <w:i/>
          <w:color w:val="000000"/>
          <w:sz w:val="24"/>
          <w:szCs w:val="24"/>
        </w:rPr>
        <w:t xml:space="preserve">Ministerio </w:t>
      </w:r>
      <w:r>
        <w:rPr>
          <w:rFonts w:ascii="Times New Roman" w:hAnsi="Times New Roman"/>
          <w:i/>
          <w:color w:val="000000"/>
          <w:sz w:val="24"/>
          <w:szCs w:val="24"/>
        </w:rPr>
        <w:t xml:space="preserve">en </w:t>
      </w:r>
      <w:r w:rsidR="0051011A">
        <w:rPr>
          <w:rFonts w:ascii="Times New Roman" w:hAnsi="Times New Roman"/>
          <w:i/>
          <w:color w:val="000000"/>
          <w:sz w:val="24"/>
          <w:szCs w:val="24"/>
        </w:rPr>
        <w:t>41</w:t>
      </w:r>
      <w:r>
        <w:rPr>
          <w:rFonts w:ascii="Times New Roman" w:hAnsi="Times New Roman"/>
          <w:i/>
          <w:color w:val="000000"/>
          <w:sz w:val="24"/>
          <w:szCs w:val="24"/>
        </w:rPr>
        <w:t xml:space="preserve">% </w:t>
      </w:r>
      <w:r w:rsidR="005F3172">
        <w:rPr>
          <w:rFonts w:ascii="Times New Roman" w:hAnsi="Times New Roman"/>
          <w:i/>
          <w:color w:val="000000"/>
          <w:sz w:val="24"/>
          <w:szCs w:val="24"/>
        </w:rPr>
        <w:t>en relación</w:t>
      </w:r>
      <w:r w:rsidR="0051011A">
        <w:rPr>
          <w:rFonts w:ascii="Times New Roman" w:hAnsi="Times New Roman"/>
          <w:i/>
          <w:color w:val="000000"/>
          <w:sz w:val="24"/>
          <w:szCs w:val="24"/>
        </w:rPr>
        <w:t xml:space="preserve"> a lo efectivamente ejecutado en el </w:t>
      </w:r>
      <w:r w:rsidR="00C85E42">
        <w:rPr>
          <w:rFonts w:ascii="Times New Roman" w:hAnsi="Times New Roman"/>
          <w:i/>
          <w:color w:val="000000"/>
          <w:sz w:val="24"/>
          <w:szCs w:val="24"/>
        </w:rPr>
        <w:t xml:space="preserve">año </w:t>
      </w:r>
      <w:r>
        <w:rPr>
          <w:rFonts w:ascii="Times New Roman" w:hAnsi="Times New Roman"/>
          <w:i/>
          <w:color w:val="000000"/>
          <w:sz w:val="24"/>
          <w:szCs w:val="24"/>
        </w:rPr>
        <w:t>201</w:t>
      </w:r>
      <w:r w:rsidR="0051011A">
        <w:rPr>
          <w:rFonts w:ascii="Times New Roman" w:hAnsi="Times New Roman"/>
          <w:i/>
          <w:color w:val="000000"/>
          <w:sz w:val="24"/>
          <w:szCs w:val="24"/>
        </w:rPr>
        <w:t>2</w:t>
      </w:r>
      <w:r>
        <w:rPr>
          <w:rFonts w:ascii="Times New Roman" w:hAnsi="Times New Roman"/>
          <w:i/>
          <w:color w:val="000000"/>
          <w:sz w:val="24"/>
          <w:szCs w:val="24"/>
        </w:rPr>
        <w:t>.</w:t>
      </w:r>
    </w:p>
    <w:p w:rsidR="003C2EBA" w:rsidRDefault="003C2EBA" w:rsidP="00063222">
      <w:pPr>
        <w:pStyle w:val="Textoindependiente3"/>
        <w:rPr>
          <w:rFonts w:ascii="Times New Roman" w:hAnsi="Times New Roman"/>
          <w:i/>
          <w:color w:val="000000"/>
          <w:sz w:val="24"/>
          <w:szCs w:val="24"/>
        </w:rPr>
      </w:pPr>
    </w:p>
    <w:p w:rsidR="00CB43CB" w:rsidRDefault="00AD75B9" w:rsidP="001244CC">
      <w:pPr>
        <w:pStyle w:val="Textoindependiente3"/>
        <w:ind w:firstLine="1985"/>
        <w:rPr>
          <w:rFonts w:ascii="Times New Roman" w:hAnsi="Times New Roman"/>
          <w:i/>
          <w:color w:val="000000"/>
          <w:sz w:val="24"/>
          <w:szCs w:val="24"/>
        </w:rPr>
      </w:pPr>
      <w:r>
        <w:rPr>
          <w:rFonts w:ascii="Times New Roman" w:hAnsi="Times New Roman"/>
          <w:i/>
          <w:color w:val="000000"/>
          <w:sz w:val="24"/>
          <w:szCs w:val="24"/>
        </w:rPr>
        <w:t>También s</w:t>
      </w:r>
      <w:r w:rsidR="002A0E14">
        <w:rPr>
          <w:rFonts w:ascii="Times New Roman" w:hAnsi="Times New Roman"/>
          <w:i/>
          <w:color w:val="000000"/>
          <w:sz w:val="24"/>
          <w:szCs w:val="24"/>
        </w:rPr>
        <w:t xml:space="preserve">eguiremos impulsando la </w:t>
      </w:r>
      <w:r w:rsidR="003C2EBA">
        <w:rPr>
          <w:rFonts w:ascii="Times New Roman" w:hAnsi="Times New Roman"/>
          <w:i/>
          <w:color w:val="000000"/>
          <w:sz w:val="24"/>
          <w:szCs w:val="24"/>
        </w:rPr>
        <w:t>inversión pública</w:t>
      </w:r>
      <w:r w:rsidR="002A0E14">
        <w:rPr>
          <w:rFonts w:ascii="Times New Roman" w:hAnsi="Times New Roman"/>
          <w:i/>
          <w:color w:val="000000"/>
          <w:sz w:val="24"/>
          <w:szCs w:val="24"/>
        </w:rPr>
        <w:t xml:space="preserve"> </w:t>
      </w:r>
      <w:r w:rsidR="00867171">
        <w:rPr>
          <w:rFonts w:ascii="Times New Roman" w:hAnsi="Times New Roman"/>
          <w:i/>
          <w:color w:val="000000"/>
          <w:sz w:val="24"/>
          <w:szCs w:val="24"/>
        </w:rPr>
        <w:t>en obras de infraestructura crucial y de alto impacto.</w:t>
      </w:r>
      <w:r w:rsidR="002A0E14">
        <w:rPr>
          <w:rFonts w:ascii="Times New Roman" w:hAnsi="Times New Roman"/>
          <w:i/>
          <w:color w:val="000000"/>
          <w:sz w:val="24"/>
          <w:szCs w:val="24"/>
        </w:rPr>
        <w:t xml:space="preserve"> </w:t>
      </w:r>
      <w:r w:rsidR="00867171">
        <w:rPr>
          <w:rFonts w:ascii="Times New Roman" w:hAnsi="Times New Roman"/>
          <w:i/>
          <w:color w:val="000000"/>
          <w:sz w:val="24"/>
          <w:szCs w:val="24"/>
        </w:rPr>
        <w:t>P</w:t>
      </w:r>
      <w:r w:rsidR="002A0E14">
        <w:rPr>
          <w:rFonts w:ascii="Times New Roman" w:hAnsi="Times New Roman"/>
          <w:i/>
          <w:color w:val="000000"/>
          <w:sz w:val="24"/>
          <w:szCs w:val="24"/>
        </w:rPr>
        <w:t>ara el efecto</w:t>
      </w:r>
      <w:r w:rsidR="00320F5C">
        <w:rPr>
          <w:rFonts w:ascii="Times New Roman" w:hAnsi="Times New Roman"/>
          <w:i/>
          <w:color w:val="000000"/>
          <w:sz w:val="24"/>
          <w:szCs w:val="24"/>
        </w:rPr>
        <w:t>,</w:t>
      </w:r>
      <w:r w:rsidR="002A0E14">
        <w:rPr>
          <w:rFonts w:ascii="Times New Roman" w:hAnsi="Times New Roman"/>
          <w:i/>
          <w:color w:val="000000"/>
          <w:sz w:val="24"/>
          <w:szCs w:val="24"/>
        </w:rPr>
        <w:t xml:space="preserve"> </w:t>
      </w:r>
      <w:r w:rsidR="003C2EBA">
        <w:rPr>
          <w:rFonts w:ascii="Times New Roman" w:hAnsi="Times New Roman"/>
          <w:i/>
          <w:color w:val="000000"/>
          <w:sz w:val="24"/>
          <w:szCs w:val="24"/>
        </w:rPr>
        <w:t xml:space="preserve">el Ministerio de Obras Públicas y Comunicaciones </w:t>
      </w:r>
      <w:r w:rsidR="002A0E14">
        <w:rPr>
          <w:rFonts w:ascii="Times New Roman" w:hAnsi="Times New Roman"/>
          <w:i/>
          <w:color w:val="000000"/>
          <w:sz w:val="24"/>
          <w:szCs w:val="24"/>
        </w:rPr>
        <w:t xml:space="preserve">dispondrá de </w:t>
      </w:r>
      <w:r w:rsidR="003C2EBA">
        <w:rPr>
          <w:rFonts w:ascii="Times New Roman" w:hAnsi="Times New Roman"/>
          <w:i/>
          <w:color w:val="000000"/>
          <w:sz w:val="24"/>
          <w:szCs w:val="24"/>
        </w:rPr>
        <w:t xml:space="preserve">US$ </w:t>
      </w:r>
      <w:r w:rsidR="00725985">
        <w:rPr>
          <w:rFonts w:ascii="Times New Roman" w:hAnsi="Times New Roman"/>
          <w:i/>
          <w:color w:val="000000"/>
          <w:sz w:val="24"/>
          <w:szCs w:val="24"/>
        </w:rPr>
        <w:t xml:space="preserve">562 </w:t>
      </w:r>
      <w:r w:rsidR="003C2EBA">
        <w:rPr>
          <w:rFonts w:ascii="Times New Roman" w:hAnsi="Times New Roman"/>
          <w:i/>
          <w:color w:val="000000"/>
          <w:sz w:val="24"/>
          <w:szCs w:val="24"/>
        </w:rPr>
        <w:t>millones</w:t>
      </w:r>
      <w:r w:rsidR="002A0E14">
        <w:rPr>
          <w:rFonts w:ascii="Times New Roman" w:hAnsi="Times New Roman"/>
          <w:i/>
          <w:color w:val="000000"/>
          <w:sz w:val="24"/>
          <w:szCs w:val="24"/>
        </w:rPr>
        <w:t xml:space="preserve"> en el 2017</w:t>
      </w:r>
      <w:r w:rsidR="003C2EBA">
        <w:rPr>
          <w:rFonts w:ascii="Times New Roman" w:hAnsi="Times New Roman"/>
          <w:i/>
          <w:color w:val="000000"/>
          <w:sz w:val="24"/>
          <w:szCs w:val="24"/>
        </w:rPr>
        <w:t>,</w:t>
      </w:r>
      <w:r w:rsidR="003A505F">
        <w:rPr>
          <w:rFonts w:ascii="Times New Roman" w:hAnsi="Times New Roman"/>
          <w:i/>
          <w:color w:val="000000"/>
          <w:sz w:val="24"/>
          <w:szCs w:val="24"/>
        </w:rPr>
        <w:t xml:space="preserve"> con </w:t>
      </w:r>
      <w:r w:rsidR="00F56B91">
        <w:rPr>
          <w:rFonts w:ascii="Times New Roman" w:hAnsi="Times New Roman"/>
          <w:i/>
          <w:color w:val="000000"/>
          <w:sz w:val="24"/>
          <w:szCs w:val="24"/>
        </w:rPr>
        <w:t>lo cual</w:t>
      </w:r>
      <w:r w:rsidR="003C2EBA">
        <w:rPr>
          <w:rFonts w:ascii="Times New Roman" w:hAnsi="Times New Roman"/>
          <w:i/>
          <w:color w:val="000000"/>
          <w:sz w:val="24"/>
          <w:szCs w:val="24"/>
        </w:rPr>
        <w:t xml:space="preserve"> el Gobierno Nacional </w:t>
      </w:r>
      <w:r w:rsidR="003A505F">
        <w:rPr>
          <w:rFonts w:ascii="Times New Roman" w:hAnsi="Times New Roman"/>
          <w:i/>
          <w:color w:val="000000"/>
          <w:sz w:val="24"/>
          <w:szCs w:val="24"/>
        </w:rPr>
        <w:t>totalizará un nivel de inversión de US$ 2</w:t>
      </w:r>
      <w:r w:rsidR="00E478C7">
        <w:rPr>
          <w:rFonts w:ascii="Times New Roman" w:hAnsi="Times New Roman"/>
          <w:i/>
          <w:color w:val="000000"/>
          <w:sz w:val="24"/>
          <w:szCs w:val="24"/>
        </w:rPr>
        <w:t>.</w:t>
      </w:r>
      <w:r w:rsidR="00725985">
        <w:rPr>
          <w:rFonts w:ascii="Times New Roman" w:hAnsi="Times New Roman"/>
          <w:i/>
          <w:color w:val="000000"/>
          <w:sz w:val="24"/>
          <w:szCs w:val="24"/>
        </w:rPr>
        <w:t xml:space="preserve">520 </w:t>
      </w:r>
      <w:r w:rsidR="003A505F">
        <w:rPr>
          <w:rFonts w:ascii="Times New Roman" w:hAnsi="Times New Roman"/>
          <w:i/>
          <w:color w:val="000000"/>
          <w:sz w:val="24"/>
          <w:szCs w:val="24"/>
        </w:rPr>
        <w:t>millones en el periodo 2013-2016</w:t>
      </w:r>
      <w:r w:rsidR="00F56B91">
        <w:rPr>
          <w:rFonts w:ascii="Times New Roman" w:hAnsi="Times New Roman"/>
          <w:i/>
          <w:color w:val="000000"/>
          <w:sz w:val="24"/>
          <w:szCs w:val="24"/>
        </w:rPr>
        <w:t>,</w:t>
      </w:r>
      <w:r w:rsidR="003A505F">
        <w:rPr>
          <w:rFonts w:ascii="Times New Roman" w:hAnsi="Times New Roman"/>
          <w:i/>
          <w:color w:val="000000"/>
          <w:sz w:val="24"/>
          <w:szCs w:val="24"/>
        </w:rPr>
        <w:t xml:space="preserve"> </w:t>
      </w:r>
      <w:r w:rsidR="00725985">
        <w:rPr>
          <w:rFonts w:ascii="Times New Roman" w:hAnsi="Times New Roman"/>
          <w:i/>
          <w:color w:val="000000"/>
          <w:sz w:val="24"/>
          <w:szCs w:val="24"/>
        </w:rPr>
        <w:t xml:space="preserve">superando </w:t>
      </w:r>
      <w:r w:rsidR="00547B0E">
        <w:rPr>
          <w:rFonts w:ascii="Times New Roman" w:hAnsi="Times New Roman"/>
          <w:i/>
          <w:color w:val="000000"/>
          <w:sz w:val="24"/>
          <w:szCs w:val="24"/>
        </w:rPr>
        <w:t>así</w:t>
      </w:r>
      <w:r w:rsidR="003A505F">
        <w:rPr>
          <w:rFonts w:ascii="Times New Roman" w:hAnsi="Times New Roman"/>
          <w:i/>
          <w:color w:val="000000"/>
          <w:sz w:val="24"/>
          <w:szCs w:val="24"/>
        </w:rPr>
        <w:t xml:space="preserve"> </w:t>
      </w:r>
      <w:r w:rsidR="00725985">
        <w:rPr>
          <w:rFonts w:ascii="Times New Roman" w:hAnsi="Times New Roman"/>
          <w:i/>
          <w:color w:val="000000"/>
          <w:sz w:val="24"/>
          <w:szCs w:val="24"/>
        </w:rPr>
        <w:t xml:space="preserve">el </w:t>
      </w:r>
      <w:r w:rsidR="003A505F">
        <w:rPr>
          <w:rFonts w:ascii="Times New Roman" w:hAnsi="Times New Roman"/>
          <w:i/>
          <w:color w:val="000000"/>
          <w:sz w:val="24"/>
          <w:szCs w:val="24"/>
        </w:rPr>
        <w:t>nivel de inversión realizado en el periodo de 16 años previos que va desde 1997 hasta 2012</w:t>
      </w:r>
      <w:r w:rsidR="00725985">
        <w:rPr>
          <w:rFonts w:ascii="Times New Roman" w:hAnsi="Times New Roman"/>
          <w:i/>
          <w:color w:val="000000"/>
          <w:sz w:val="24"/>
          <w:szCs w:val="24"/>
        </w:rPr>
        <w:t>, que totalizó la suma de US$ 2.460 millones</w:t>
      </w:r>
      <w:r w:rsidR="003A505F">
        <w:rPr>
          <w:rFonts w:ascii="Times New Roman" w:hAnsi="Times New Roman"/>
          <w:i/>
          <w:color w:val="000000"/>
          <w:sz w:val="24"/>
          <w:szCs w:val="24"/>
        </w:rPr>
        <w:t>.</w:t>
      </w:r>
    </w:p>
    <w:p w:rsidR="00AD75B9" w:rsidRDefault="00AD75B9" w:rsidP="00A5409A">
      <w:pPr>
        <w:pStyle w:val="Textoindependiente3"/>
        <w:rPr>
          <w:rFonts w:ascii="Times New Roman" w:hAnsi="Times New Roman"/>
          <w:i/>
          <w:color w:val="000000"/>
          <w:sz w:val="24"/>
          <w:szCs w:val="24"/>
        </w:rPr>
      </w:pPr>
    </w:p>
    <w:p w:rsidR="00AD75B9" w:rsidRDefault="00AD75B9" w:rsidP="001244CC">
      <w:pPr>
        <w:pStyle w:val="Textoindependiente3"/>
        <w:ind w:firstLine="1985"/>
        <w:rPr>
          <w:rFonts w:ascii="Times New Roman" w:hAnsi="Times New Roman"/>
          <w:i/>
          <w:color w:val="000000"/>
          <w:sz w:val="24"/>
          <w:szCs w:val="24"/>
        </w:rPr>
      </w:pPr>
      <w:r>
        <w:rPr>
          <w:rFonts w:ascii="Times New Roman" w:hAnsi="Times New Roman"/>
          <w:i/>
          <w:color w:val="000000"/>
          <w:sz w:val="24"/>
          <w:szCs w:val="24"/>
        </w:rPr>
        <w:t xml:space="preserve">Este gran impulso </w:t>
      </w:r>
      <w:r w:rsidR="00A5409A">
        <w:rPr>
          <w:rFonts w:ascii="Times New Roman" w:hAnsi="Times New Roman"/>
          <w:i/>
          <w:color w:val="000000"/>
          <w:sz w:val="24"/>
          <w:szCs w:val="24"/>
        </w:rPr>
        <w:t xml:space="preserve">a </w:t>
      </w:r>
      <w:r>
        <w:rPr>
          <w:rFonts w:ascii="Times New Roman" w:hAnsi="Times New Roman"/>
          <w:i/>
          <w:color w:val="000000"/>
          <w:sz w:val="24"/>
          <w:szCs w:val="24"/>
        </w:rPr>
        <w:t>la inversión pública, realizado de manera responsable y sostenible mediante el crédito externo, permitirá acrecentar el acervo de infraestructura física del Paraguay, reduciéndose los costos logísticos a las organizaciones productivas, al tiempo que impulsará un mayor crecimiento potencial de la economía hacia el mediano plazo.</w:t>
      </w:r>
    </w:p>
    <w:p w:rsidR="003C2EBA" w:rsidRDefault="003C2EBA" w:rsidP="00F56B91">
      <w:pPr>
        <w:pStyle w:val="Textoindependiente3"/>
        <w:spacing w:line="240" w:lineRule="auto"/>
        <w:rPr>
          <w:rFonts w:ascii="Times New Roman" w:hAnsi="Times New Roman"/>
          <w:i/>
          <w:color w:val="000000"/>
          <w:sz w:val="24"/>
          <w:szCs w:val="24"/>
        </w:rPr>
      </w:pPr>
    </w:p>
    <w:p w:rsidR="003C2EBA" w:rsidRDefault="00786EA6" w:rsidP="003C2EBA">
      <w:pPr>
        <w:pStyle w:val="Textoindependiente3"/>
        <w:spacing w:line="240" w:lineRule="auto"/>
        <w:ind w:firstLine="1985"/>
        <w:rPr>
          <w:rFonts w:ascii="Times New Roman" w:hAnsi="Times New Roman"/>
          <w:i/>
          <w:color w:val="000000"/>
          <w:sz w:val="24"/>
          <w:szCs w:val="24"/>
        </w:rPr>
      </w:pPr>
      <w:r>
        <w:rPr>
          <w:rFonts w:ascii="Times New Roman" w:hAnsi="Times New Roman"/>
          <w:i/>
          <w:color w:val="000000"/>
          <w:sz w:val="24"/>
          <w:szCs w:val="24"/>
        </w:rPr>
        <w:t xml:space="preserve">Las </w:t>
      </w:r>
      <w:r w:rsidR="003C2EBA">
        <w:rPr>
          <w:rFonts w:ascii="Times New Roman" w:hAnsi="Times New Roman"/>
          <w:i/>
          <w:color w:val="000000"/>
          <w:sz w:val="24"/>
          <w:szCs w:val="24"/>
        </w:rPr>
        <w:t xml:space="preserve">políticas priorizadas </w:t>
      </w:r>
      <w:r>
        <w:rPr>
          <w:rFonts w:ascii="Times New Roman" w:hAnsi="Times New Roman"/>
          <w:i/>
          <w:color w:val="000000"/>
          <w:sz w:val="24"/>
          <w:szCs w:val="24"/>
        </w:rPr>
        <w:t>en este Proyecto se enmarcan en</w:t>
      </w:r>
      <w:r w:rsidR="003C2EBA">
        <w:rPr>
          <w:rFonts w:ascii="Times New Roman" w:hAnsi="Times New Roman"/>
          <w:i/>
          <w:color w:val="000000"/>
          <w:sz w:val="24"/>
          <w:szCs w:val="24"/>
        </w:rPr>
        <w:t xml:space="preserve"> el Plan Nacional de Desarrollo </w:t>
      </w:r>
      <w:r>
        <w:rPr>
          <w:rFonts w:ascii="Times New Roman" w:hAnsi="Times New Roman"/>
          <w:i/>
          <w:color w:val="000000"/>
          <w:sz w:val="24"/>
          <w:szCs w:val="24"/>
        </w:rPr>
        <w:t xml:space="preserve">“Paraguay 2030” </w:t>
      </w:r>
      <w:r w:rsidR="003C2EBA">
        <w:rPr>
          <w:rFonts w:ascii="Times New Roman" w:hAnsi="Times New Roman"/>
          <w:i/>
          <w:color w:val="000000"/>
          <w:sz w:val="24"/>
          <w:szCs w:val="24"/>
        </w:rPr>
        <w:t>y el Programa Nacional de Reducción de la Pobreza “Sembrando Oportunidades”,</w:t>
      </w:r>
      <w:r w:rsidR="00154AB2">
        <w:rPr>
          <w:rFonts w:ascii="Times New Roman" w:hAnsi="Times New Roman"/>
          <w:i/>
          <w:color w:val="000000"/>
          <w:sz w:val="24"/>
          <w:szCs w:val="24"/>
        </w:rPr>
        <w:t xml:space="preserve"> y son</w:t>
      </w:r>
      <w:r w:rsidR="003C2EBA">
        <w:rPr>
          <w:rFonts w:ascii="Times New Roman" w:hAnsi="Times New Roman"/>
          <w:i/>
          <w:color w:val="000000"/>
          <w:sz w:val="24"/>
          <w:szCs w:val="24"/>
        </w:rPr>
        <w:t xml:space="preserve"> </w:t>
      </w:r>
      <w:r w:rsidR="00E478C7">
        <w:rPr>
          <w:rFonts w:ascii="Times New Roman" w:hAnsi="Times New Roman"/>
          <w:i/>
          <w:color w:val="000000"/>
          <w:sz w:val="24"/>
          <w:szCs w:val="24"/>
        </w:rPr>
        <w:t xml:space="preserve">coherentes con los objetivos de </w:t>
      </w:r>
      <w:r w:rsidR="0071099E">
        <w:rPr>
          <w:rFonts w:ascii="Times New Roman" w:hAnsi="Times New Roman"/>
          <w:i/>
          <w:color w:val="000000"/>
          <w:sz w:val="24"/>
          <w:szCs w:val="24"/>
        </w:rPr>
        <w:t>la política social</w:t>
      </w:r>
      <w:r w:rsidR="005D7A20">
        <w:rPr>
          <w:rFonts w:ascii="Times New Roman" w:hAnsi="Times New Roman"/>
          <w:i/>
          <w:color w:val="000000"/>
          <w:sz w:val="24"/>
          <w:szCs w:val="24"/>
        </w:rPr>
        <w:t>,</w:t>
      </w:r>
      <w:r w:rsidR="003C2EBA">
        <w:rPr>
          <w:rFonts w:ascii="Times New Roman" w:hAnsi="Times New Roman"/>
          <w:i/>
          <w:color w:val="000000"/>
          <w:sz w:val="24"/>
          <w:szCs w:val="24"/>
        </w:rPr>
        <w:t xml:space="preserve"> </w:t>
      </w:r>
      <w:r w:rsidR="0071099E">
        <w:rPr>
          <w:rFonts w:ascii="Times New Roman" w:hAnsi="Times New Roman"/>
          <w:i/>
          <w:color w:val="000000"/>
          <w:sz w:val="24"/>
          <w:szCs w:val="24"/>
        </w:rPr>
        <w:t>orientada al cierre de</w:t>
      </w:r>
      <w:r w:rsidR="003C2EBA">
        <w:rPr>
          <w:rFonts w:ascii="Times New Roman" w:hAnsi="Times New Roman"/>
          <w:i/>
          <w:color w:val="000000"/>
          <w:sz w:val="24"/>
          <w:szCs w:val="24"/>
        </w:rPr>
        <w:t xml:space="preserve"> las brechas en materia de infraestructura física, lo que </w:t>
      </w:r>
      <w:r w:rsidR="00154AB2">
        <w:rPr>
          <w:rFonts w:ascii="Times New Roman" w:hAnsi="Times New Roman"/>
          <w:i/>
          <w:color w:val="000000"/>
          <w:sz w:val="24"/>
          <w:szCs w:val="24"/>
        </w:rPr>
        <w:t>potenciará</w:t>
      </w:r>
      <w:r w:rsidR="003C2EBA">
        <w:rPr>
          <w:rFonts w:ascii="Times New Roman" w:hAnsi="Times New Roman"/>
          <w:i/>
          <w:color w:val="000000"/>
          <w:sz w:val="24"/>
          <w:szCs w:val="24"/>
        </w:rPr>
        <w:t xml:space="preserve"> el crecimiento económico</w:t>
      </w:r>
      <w:r>
        <w:rPr>
          <w:rFonts w:ascii="Times New Roman" w:hAnsi="Times New Roman"/>
          <w:i/>
          <w:color w:val="000000"/>
          <w:sz w:val="24"/>
          <w:szCs w:val="24"/>
        </w:rPr>
        <w:t xml:space="preserve"> y el bienestar de todos los paraguayos.</w:t>
      </w:r>
      <w:r w:rsidR="003C2EBA">
        <w:rPr>
          <w:rFonts w:ascii="Times New Roman" w:hAnsi="Times New Roman"/>
          <w:i/>
          <w:color w:val="000000"/>
          <w:sz w:val="24"/>
          <w:szCs w:val="24"/>
        </w:rPr>
        <w:t xml:space="preserve">  </w:t>
      </w:r>
    </w:p>
    <w:p w:rsidR="00B617A4" w:rsidRDefault="00B617A4">
      <w:pPr>
        <w:spacing w:after="200" w:line="276" w:lineRule="auto"/>
        <w:rPr>
          <w:i/>
          <w:color w:val="000000"/>
          <w:spacing w:val="0"/>
          <w:lang w:val="es-PY"/>
        </w:rPr>
      </w:pPr>
      <w:r>
        <w:rPr>
          <w:i/>
          <w:color w:val="000000"/>
        </w:rPr>
        <w:br w:type="page"/>
      </w:r>
    </w:p>
    <w:p w:rsidR="00B617A4" w:rsidRPr="00484D7D" w:rsidRDefault="00B617A4" w:rsidP="00B617A4">
      <w:pPr>
        <w:jc w:val="center"/>
        <w:rPr>
          <w:i/>
          <w:color w:val="000000" w:themeColor="text1"/>
          <w:lang w:val="es-ES_tradnl"/>
        </w:rPr>
      </w:pPr>
      <w:r>
        <w:rPr>
          <w:i/>
          <w:color w:val="000000" w:themeColor="text1"/>
          <w:lang w:val="es-ES_tradnl"/>
        </w:rPr>
        <w:lastRenderedPageBreak/>
        <w:t>-4-</w:t>
      </w:r>
    </w:p>
    <w:p w:rsidR="00B617A4" w:rsidRDefault="00B617A4" w:rsidP="00B617A4">
      <w:pPr>
        <w:jc w:val="both"/>
        <w:rPr>
          <w:i/>
          <w:color w:val="000000" w:themeColor="text1"/>
          <w:lang w:val="es-ES_tradnl"/>
        </w:rPr>
      </w:pPr>
    </w:p>
    <w:p w:rsidR="00B617A4" w:rsidRPr="00484D7D" w:rsidRDefault="00B617A4" w:rsidP="00B617A4">
      <w:pPr>
        <w:jc w:val="both"/>
        <w:rPr>
          <w:i/>
          <w:color w:val="000000" w:themeColor="text1"/>
          <w:lang w:val="es-ES_tradnl"/>
        </w:rPr>
      </w:pPr>
    </w:p>
    <w:p w:rsidR="00B617A4" w:rsidRPr="00484D7D" w:rsidRDefault="00B617A4" w:rsidP="00B617A4">
      <w:pPr>
        <w:jc w:val="both"/>
        <w:rPr>
          <w:i/>
          <w:color w:val="000000" w:themeColor="text1"/>
          <w:lang w:val="es-ES_tradnl"/>
        </w:rPr>
      </w:pPr>
    </w:p>
    <w:p w:rsidR="00B617A4" w:rsidRPr="00484D7D" w:rsidRDefault="00B617A4" w:rsidP="00B617A4">
      <w:pPr>
        <w:jc w:val="both"/>
        <w:rPr>
          <w:i/>
          <w:color w:val="000000" w:themeColor="text1"/>
          <w:lang w:val="es-ES_tradnl"/>
        </w:rPr>
      </w:pPr>
      <w:r w:rsidRPr="00484D7D">
        <w:rPr>
          <w:i/>
          <w:color w:val="000000" w:themeColor="text1"/>
          <w:lang w:val="es-ES_tradnl"/>
        </w:rPr>
        <w:t>N°________</w:t>
      </w:r>
    </w:p>
    <w:p w:rsidR="00B617A4" w:rsidRPr="00484D7D" w:rsidRDefault="00B617A4" w:rsidP="00B617A4">
      <w:pPr>
        <w:jc w:val="both"/>
        <w:rPr>
          <w:i/>
          <w:color w:val="000000" w:themeColor="text1"/>
          <w:lang w:val="es-ES_tradnl"/>
        </w:rPr>
      </w:pPr>
    </w:p>
    <w:p w:rsidR="00B617A4" w:rsidRPr="00484D7D" w:rsidRDefault="00B617A4" w:rsidP="00B617A4">
      <w:pPr>
        <w:jc w:val="both"/>
        <w:rPr>
          <w:i/>
          <w:color w:val="000000" w:themeColor="text1"/>
          <w:lang w:val="es-ES_tradnl"/>
        </w:rPr>
      </w:pPr>
    </w:p>
    <w:p w:rsidR="003C2EBA" w:rsidRDefault="003C2EBA" w:rsidP="005D7A20">
      <w:pPr>
        <w:pStyle w:val="Textoindependiente3"/>
        <w:spacing w:line="240" w:lineRule="auto"/>
        <w:rPr>
          <w:rFonts w:ascii="Times New Roman" w:hAnsi="Times New Roman"/>
          <w:i/>
          <w:color w:val="000000"/>
          <w:sz w:val="24"/>
          <w:szCs w:val="24"/>
        </w:rPr>
      </w:pPr>
    </w:p>
    <w:p w:rsidR="003C2EBA" w:rsidRDefault="0071099E" w:rsidP="003C2EBA">
      <w:pPr>
        <w:pStyle w:val="Textoindependiente3"/>
        <w:spacing w:line="240" w:lineRule="auto"/>
        <w:ind w:firstLine="1985"/>
        <w:rPr>
          <w:rFonts w:ascii="Times New Roman" w:hAnsi="Times New Roman"/>
          <w:i/>
          <w:color w:val="000000"/>
          <w:sz w:val="24"/>
          <w:szCs w:val="24"/>
        </w:rPr>
      </w:pPr>
      <w:r>
        <w:rPr>
          <w:rFonts w:ascii="Times New Roman" w:hAnsi="Times New Roman"/>
          <w:i/>
          <w:color w:val="000000"/>
          <w:sz w:val="24"/>
          <w:szCs w:val="24"/>
        </w:rPr>
        <w:t>E</w:t>
      </w:r>
      <w:r w:rsidR="003C2EBA">
        <w:rPr>
          <w:rFonts w:ascii="Times New Roman" w:hAnsi="Times New Roman"/>
          <w:i/>
          <w:color w:val="000000"/>
          <w:sz w:val="24"/>
          <w:szCs w:val="24"/>
        </w:rPr>
        <w:t>l Proyecto</w:t>
      </w:r>
      <w:r w:rsidR="00320F5C">
        <w:rPr>
          <w:rFonts w:ascii="Times New Roman" w:hAnsi="Times New Roman"/>
          <w:i/>
          <w:color w:val="000000"/>
          <w:sz w:val="24"/>
          <w:szCs w:val="24"/>
        </w:rPr>
        <w:t xml:space="preserve"> de Ley</w:t>
      </w:r>
      <w:r w:rsidR="003C2EBA">
        <w:rPr>
          <w:rFonts w:ascii="Times New Roman" w:hAnsi="Times New Roman"/>
          <w:i/>
          <w:color w:val="000000"/>
          <w:sz w:val="24"/>
          <w:szCs w:val="24"/>
        </w:rPr>
        <w:t xml:space="preserve"> ha sido </w:t>
      </w:r>
      <w:r>
        <w:rPr>
          <w:rFonts w:ascii="Times New Roman" w:hAnsi="Times New Roman"/>
          <w:i/>
          <w:color w:val="000000"/>
          <w:sz w:val="24"/>
          <w:szCs w:val="24"/>
        </w:rPr>
        <w:t xml:space="preserve">elaborado </w:t>
      </w:r>
      <w:r w:rsidR="003C2EBA">
        <w:rPr>
          <w:rFonts w:ascii="Times New Roman" w:hAnsi="Times New Roman"/>
          <w:i/>
          <w:color w:val="000000"/>
          <w:sz w:val="24"/>
          <w:szCs w:val="24"/>
        </w:rPr>
        <w:t xml:space="preserve">con criterios de responsabilidad, </w:t>
      </w:r>
      <w:r w:rsidR="00E478C7">
        <w:rPr>
          <w:rFonts w:ascii="Times New Roman" w:hAnsi="Times New Roman"/>
          <w:i/>
          <w:color w:val="000000"/>
          <w:sz w:val="24"/>
          <w:szCs w:val="24"/>
        </w:rPr>
        <w:t xml:space="preserve">resguardando </w:t>
      </w:r>
      <w:r w:rsidR="002361AF">
        <w:rPr>
          <w:rFonts w:ascii="Times New Roman" w:hAnsi="Times New Roman"/>
          <w:i/>
          <w:color w:val="000000"/>
          <w:sz w:val="24"/>
          <w:szCs w:val="24"/>
        </w:rPr>
        <w:t xml:space="preserve">de </w:t>
      </w:r>
      <w:r w:rsidR="00E478C7">
        <w:rPr>
          <w:rFonts w:ascii="Times New Roman" w:hAnsi="Times New Roman"/>
          <w:i/>
          <w:color w:val="000000"/>
          <w:sz w:val="24"/>
          <w:szCs w:val="24"/>
        </w:rPr>
        <w:t xml:space="preserve">los intereses de la ciudadanía, </w:t>
      </w:r>
      <w:r w:rsidR="003C2EBA">
        <w:rPr>
          <w:rFonts w:ascii="Times New Roman" w:hAnsi="Times New Roman"/>
          <w:i/>
          <w:color w:val="000000"/>
          <w:sz w:val="24"/>
          <w:szCs w:val="24"/>
        </w:rPr>
        <w:t>preservando la sostenibilidad de las finanzas públicas, cumpliendo con las reglas cuantitativas de la Ley de Responsabilidad Fiscal, todo lo cual es garantía para la estabilidad macroeconómica, sentando las bases para el desarrollo sostenido y ordenado de la economía nacional.</w:t>
      </w:r>
    </w:p>
    <w:p w:rsidR="003C2EBA" w:rsidRDefault="003C2EBA" w:rsidP="002361AF">
      <w:pPr>
        <w:pStyle w:val="Textoindependiente3"/>
        <w:spacing w:line="240" w:lineRule="auto"/>
        <w:rPr>
          <w:rFonts w:ascii="Times New Roman" w:hAnsi="Times New Roman"/>
          <w:i/>
          <w:color w:val="000000"/>
          <w:sz w:val="24"/>
          <w:szCs w:val="24"/>
        </w:rPr>
      </w:pPr>
    </w:p>
    <w:p w:rsidR="003C2EBA" w:rsidRPr="00E62867" w:rsidRDefault="003C2EBA" w:rsidP="003C2EBA">
      <w:pPr>
        <w:pStyle w:val="Textoindependiente3"/>
        <w:spacing w:line="240" w:lineRule="auto"/>
        <w:ind w:firstLine="1985"/>
        <w:rPr>
          <w:rFonts w:ascii="Times New Roman" w:hAnsi="Times New Roman"/>
          <w:i/>
          <w:color w:val="000000"/>
          <w:sz w:val="24"/>
          <w:szCs w:val="24"/>
        </w:rPr>
      </w:pPr>
      <w:r w:rsidRPr="00E62867">
        <w:rPr>
          <w:rFonts w:ascii="Times New Roman" w:hAnsi="Times New Roman"/>
          <w:i/>
          <w:color w:val="000000"/>
          <w:sz w:val="24"/>
          <w:szCs w:val="24"/>
        </w:rPr>
        <w:t xml:space="preserve">En cumplimiento </w:t>
      </w:r>
      <w:r>
        <w:rPr>
          <w:rFonts w:ascii="Times New Roman" w:hAnsi="Times New Roman"/>
          <w:i/>
          <w:color w:val="000000"/>
          <w:sz w:val="24"/>
          <w:szCs w:val="24"/>
        </w:rPr>
        <w:t>de</w:t>
      </w:r>
      <w:r w:rsidRPr="00E62867">
        <w:rPr>
          <w:rFonts w:ascii="Times New Roman" w:hAnsi="Times New Roman"/>
          <w:i/>
          <w:color w:val="000000"/>
          <w:sz w:val="24"/>
          <w:szCs w:val="24"/>
        </w:rPr>
        <w:t xml:space="preserve"> las disposiciones establecidas en los Artículos 216 y 238, numeral 14)</w:t>
      </w:r>
      <w:r>
        <w:rPr>
          <w:rFonts w:ascii="Times New Roman" w:hAnsi="Times New Roman"/>
          <w:i/>
          <w:color w:val="000000"/>
          <w:sz w:val="24"/>
          <w:szCs w:val="24"/>
        </w:rPr>
        <w:t>,</w:t>
      </w:r>
      <w:r w:rsidRPr="00E62867">
        <w:rPr>
          <w:rFonts w:ascii="Times New Roman" w:hAnsi="Times New Roman"/>
          <w:i/>
          <w:color w:val="000000"/>
          <w:sz w:val="24"/>
          <w:szCs w:val="24"/>
        </w:rPr>
        <w:t xml:space="preserve"> de la Constitución y </w:t>
      </w:r>
      <w:r>
        <w:rPr>
          <w:rFonts w:ascii="Times New Roman" w:hAnsi="Times New Roman"/>
          <w:i/>
          <w:color w:val="000000"/>
          <w:sz w:val="24"/>
          <w:szCs w:val="24"/>
        </w:rPr>
        <w:t xml:space="preserve">en </w:t>
      </w:r>
      <w:r w:rsidRPr="00E62867">
        <w:rPr>
          <w:rFonts w:ascii="Times New Roman" w:hAnsi="Times New Roman"/>
          <w:i/>
          <w:color w:val="000000"/>
          <w:sz w:val="24"/>
          <w:szCs w:val="24"/>
        </w:rPr>
        <w:t xml:space="preserve">el Artículo 16, incisos a) y b), de la Ley N° 1535/99, “De Administración Financiera del Estado” y su modificatoria la Ley Nº 1636/2000, presentamos a consideración de Vuestra Honorabilidad los fundamentos utilizados para elaborar el </w:t>
      </w:r>
      <w:r>
        <w:rPr>
          <w:rFonts w:ascii="Times New Roman" w:hAnsi="Times New Roman"/>
          <w:i/>
          <w:color w:val="000000"/>
          <w:sz w:val="24"/>
          <w:szCs w:val="24"/>
        </w:rPr>
        <w:t>P</w:t>
      </w:r>
      <w:r w:rsidRPr="00E62867">
        <w:rPr>
          <w:rFonts w:ascii="Times New Roman" w:hAnsi="Times New Roman"/>
          <w:i/>
          <w:color w:val="000000"/>
          <w:sz w:val="24"/>
          <w:szCs w:val="24"/>
        </w:rPr>
        <w:t>resupuesto para el Ejercicio Fiscal 201</w:t>
      </w:r>
      <w:r w:rsidR="00265B0C">
        <w:rPr>
          <w:rFonts w:ascii="Times New Roman" w:hAnsi="Times New Roman"/>
          <w:i/>
          <w:color w:val="000000"/>
          <w:sz w:val="24"/>
          <w:szCs w:val="24"/>
        </w:rPr>
        <w:t>7</w:t>
      </w:r>
      <w:r w:rsidRPr="00E62867">
        <w:rPr>
          <w:rFonts w:ascii="Times New Roman" w:hAnsi="Times New Roman"/>
          <w:i/>
          <w:color w:val="000000"/>
          <w:sz w:val="24"/>
          <w:szCs w:val="24"/>
        </w:rPr>
        <w:t>.</w:t>
      </w:r>
    </w:p>
    <w:p w:rsidR="00614693" w:rsidRDefault="00614693" w:rsidP="00614693">
      <w:pPr>
        <w:suppressAutoHyphens/>
        <w:jc w:val="both"/>
        <w:rPr>
          <w:i/>
          <w:color w:val="000000" w:themeColor="text1"/>
          <w:lang w:val="es-PY"/>
        </w:rPr>
      </w:pPr>
    </w:p>
    <w:p w:rsidR="00CB3E74" w:rsidRPr="00177FED" w:rsidRDefault="00CB3E74" w:rsidP="00CB3E74">
      <w:pPr>
        <w:tabs>
          <w:tab w:val="left" w:pos="4536"/>
        </w:tabs>
        <w:suppressAutoHyphens/>
        <w:jc w:val="center"/>
        <w:rPr>
          <w:color w:val="000000" w:themeColor="text1"/>
        </w:rPr>
      </w:pPr>
      <w:r w:rsidRPr="00177FED">
        <w:rPr>
          <w:b/>
          <w:i/>
          <w:color w:val="000000" w:themeColor="text1"/>
        </w:rPr>
        <w:t>Escenario Económico 2015– 2016</w:t>
      </w:r>
    </w:p>
    <w:p w:rsidR="00CB3E74" w:rsidRPr="00BD7775" w:rsidRDefault="00CB3E74" w:rsidP="00CB3E74">
      <w:pPr>
        <w:suppressAutoHyphens/>
        <w:jc w:val="both"/>
        <w:rPr>
          <w:i/>
          <w:color w:val="000000" w:themeColor="text1"/>
          <w:highlight w:val="green"/>
        </w:rPr>
      </w:pPr>
    </w:p>
    <w:p w:rsidR="00AD75B9" w:rsidRDefault="00CB3E74" w:rsidP="00CB3E74">
      <w:pPr>
        <w:pStyle w:val="Textoindependiente3"/>
        <w:ind w:firstLine="1985"/>
        <w:rPr>
          <w:rFonts w:ascii="Times New Roman" w:hAnsi="Times New Roman"/>
          <w:i/>
          <w:sz w:val="24"/>
          <w:szCs w:val="24"/>
        </w:rPr>
      </w:pPr>
      <w:r w:rsidRPr="00177FED">
        <w:rPr>
          <w:rFonts w:ascii="Times New Roman" w:hAnsi="Times New Roman"/>
          <w:i/>
          <w:sz w:val="24"/>
          <w:szCs w:val="24"/>
        </w:rPr>
        <w:t xml:space="preserve">La economía paraguaya ha </w:t>
      </w:r>
      <w:r>
        <w:rPr>
          <w:rFonts w:ascii="Times New Roman" w:hAnsi="Times New Roman"/>
          <w:i/>
          <w:sz w:val="24"/>
          <w:szCs w:val="24"/>
        </w:rPr>
        <w:t xml:space="preserve">logrado mantener un buen desempeño económico a pesar de la coyuntura externa desfavorable, manteniendo un crecimiento promedio del 5% </w:t>
      </w:r>
      <w:r w:rsidR="00667DD2">
        <w:rPr>
          <w:rFonts w:ascii="Times New Roman" w:hAnsi="Times New Roman"/>
          <w:i/>
          <w:sz w:val="24"/>
          <w:szCs w:val="24"/>
        </w:rPr>
        <w:t xml:space="preserve">en </w:t>
      </w:r>
      <w:r>
        <w:rPr>
          <w:rFonts w:ascii="Times New Roman" w:hAnsi="Times New Roman"/>
          <w:i/>
          <w:sz w:val="24"/>
          <w:szCs w:val="24"/>
        </w:rPr>
        <w:t>los últimos cinco años (2011-</w:t>
      </w:r>
      <w:r w:rsidR="000B7DE3">
        <w:rPr>
          <w:rFonts w:ascii="Times New Roman" w:hAnsi="Times New Roman"/>
          <w:i/>
          <w:sz w:val="24"/>
          <w:szCs w:val="24"/>
        </w:rPr>
        <w:t>20</w:t>
      </w:r>
      <w:r>
        <w:rPr>
          <w:rFonts w:ascii="Times New Roman" w:hAnsi="Times New Roman"/>
          <w:i/>
          <w:sz w:val="24"/>
          <w:szCs w:val="24"/>
        </w:rPr>
        <w:t>15), mayor al promedio registrado en los países de la región.</w:t>
      </w:r>
      <w:r w:rsidRPr="00177FED">
        <w:rPr>
          <w:rFonts w:ascii="Times New Roman" w:hAnsi="Times New Roman"/>
          <w:i/>
          <w:sz w:val="24"/>
          <w:szCs w:val="24"/>
        </w:rPr>
        <w:t xml:space="preserve"> </w:t>
      </w:r>
      <w:r w:rsidR="00316875">
        <w:rPr>
          <w:rFonts w:ascii="Times New Roman" w:hAnsi="Times New Roman"/>
          <w:i/>
          <w:sz w:val="24"/>
          <w:szCs w:val="24"/>
        </w:rPr>
        <w:t>Y lo que es aún más interesante es que</w:t>
      </w:r>
      <w:r w:rsidR="00AD75B9">
        <w:rPr>
          <w:rFonts w:ascii="Times New Roman" w:hAnsi="Times New Roman"/>
          <w:i/>
          <w:sz w:val="24"/>
          <w:szCs w:val="24"/>
        </w:rPr>
        <w:t xml:space="preserve"> la economía paraguaya ha registrado un crecimiento </w:t>
      </w:r>
      <w:r w:rsidR="00316875">
        <w:rPr>
          <w:rFonts w:ascii="Times New Roman" w:hAnsi="Times New Roman"/>
          <w:i/>
          <w:sz w:val="24"/>
          <w:szCs w:val="24"/>
        </w:rPr>
        <w:t xml:space="preserve">promedio </w:t>
      </w:r>
      <w:r w:rsidR="00AD75B9">
        <w:rPr>
          <w:rFonts w:ascii="Times New Roman" w:hAnsi="Times New Roman"/>
          <w:i/>
          <w:sz w:val="24"/>
          <w:szCs w:val="24"/>
        </w:rPr>
        <w:t>superior en 2</w:t>
      </w:r>
      <w:r w:rsidR="00316875">
        <w:rPr>
          <w:rFonts w:ascii="Times New Roman" w:hAnsi="Times New Roman"/>
          <w:i/>
          <w:sz w:val="24"/>
          <w:szCs w:val="24"/>
        </w:rPr>
        <w:t>,</w:t>
      </w:r>
      <w:r w:rsidR="00AD75B9">
        <w:rPr>
          <w:rFonts w:ascii="Times New Roman" w:hAnsi="Times New Roman"/>
          <w:i/>
          <w:sz w:val="24"/>
          <w:szCs w:val="24"/>
        </w:rPr>
        <w:t>5% al crecimiento de América Latina en el mismo periodo</w:t>
      </w:r>
      <w:r w:rsidR="00316875">
        <w:rPr>
          <w:rFonts w:ascii="Times New Roman" w:hAnsi="Times New Roman"/>
          <w:i/>
          <w:sz w:val="24"/>
          <w:szCs w:val="24"/>
        </w:rPr>
        <w:t xml:space="preserve"> (2011-</w:t>
      </w:r>
      <w:r w:rsidR="00FA13BF">
        <w:rPr>
          <w:rFonts w:ascii="Times New Roman" w:hAnsi="Times New Roman"/>
          <w:i/>
          <w:sz w:val="24"/>
          <w:szCs w:val="24"/>
        </w:rPr>
        <w:t>20</w:t>
      </w:r>
      <w:r w:rsidR="00316875">
        <w:rPr>
          <w:rFonts w:ascii="Times New Roman" w:hAnsi="Times New Roman"/>
          <w:i/>
          <w:sz w:val="24"/>
          <w:szCs w:val="24"/>
        </w:rPr>
        <w:t>15)</w:t>
      </w:r>
      <w:r w:rsidR="00AD75B9">
        <w:rPr>
          <w:rFonts w:ascii="Times New Roman" w:hAnsi="Times New Roman"/>
          <w:i/>
          <w:sz w:val="24"/>
          <w:szCs w:val="24"/>
        </w:rPr>
        <w:t>.</w:t>
      </w:r>
    </w:p>
    <w:p w:rsidR="00AD75B9" w:rsidRDefault="00AD75B9" w:rsidP="00667DD2">
      <w:pPr>
        <w:pStyle w:val="Textoindependiente3"/>
        <w:rPr>
          <w:rFonts w:ascii="Times New Roman" w:hAnsi="Times New Roman"/>
          <w:i/>
          <w:sz w:val="24"/>
          <w:szCs w:val="24"/>
        </w:rPr>
      </w:pPr>
    </w:p>
    <w:p w:rsidR="00CB3E74" w:rsidRPr="00177FED" w:rsidRDefault="00CB3E74" w:rsidP="00CB3E74">
      <w:pPr>
        <w:pStyle w:val="Textoindependiente3"/>
        <w:ind w:firstLine="1985"/>
        <w:rPr>
          <w:rFonts w:ascii="Times New Roman" w:hAnsi="Times New Roman"/>
          <w:i/>
          <w:sz w:val="24"/>
          <w:szCs w:val="24"/>
        </w:rPr>
      </w:pPr>
      <w:r w:rsidRPr="00177FED">
        <w:rPr>
          <w:rFonts w:ascii="Times New Roman" w:hAnsi="Times New Roman"/>
          <w:i/>
          <w:sz w:val="24"/>
          <w:szCs w:val="24"/>
        </w:rPr>
        <w:t xml:space="preserve">Este periodo de crecimiento se ha </w:t>
      </w:r>
      <w:r>
        <w:rPr>
          <w:rFonts w:ascii="Times New Roman" w:hAnsi="Times New Roman"/>
          <w:i/>
          <w:sz w:val="24"/>
          <w:szCs w:val="24"/>
        </w:rPr>
        <w:t>logrado gracias a la</w:t>
      </w:r>
      <w:r w:rsidRPr="00177FED">
        <w:rPr>
          <w:rFonts w:ascii="Times New Roman" w:hAnsi="Times New Roman"/>
          <w:i/>
          <w:sz w:val="24"/>
          <w:szCs w:val="24"/>
        </w:rPr>
        <w:t xml:space="preserve"> estabilidad macroeconómica, con una inflación estable del </w:t>
      </w:r>
      <w:r>
        <w:rPr>
          <w:rFonts w:ascii="Times New Roman" w:hAnsi="Times New Roman"/>
          <w:i/>
          <w:sz w:val="24"/>
          <w:szCs w:val="24"/>
        </w:rPr>
        <w:t>4,0</w:t>
      </w:r>
      <w:r w:rsidRPr="00177FED">
        <w:rPr>
          <w:rFonts w:ascii="Times New Roman" w:hAnsi="Times New Roman"/>
          <w:i/>
          <w:sz w:val="24"/>
          <w:szCs w:val="24"/>
        </w:rPr>
        <w:t>% promedio en dicho periodo</w:t>
      </w:r>
      <w:r>
        <w:rPr>
          <w:rFonts w:ascii="Times New Roman" w:hAnsi="Times New Roman"/>
          <w:i/>
          <w:sz w:val="24"/>
          <w:szCs w:val="24"/>
        </w:rPr>
        <w:t xml:space="preserve"> y manteniendo la </w:t>
      </w:r>
      <w:r w:rsidRPr="00177FED">
        <w:rPr>
          <w:rFonts w:ascii="Times New Roman" w:hAnsi="Times New Roman"/>
          <w:i/>
          <w:sz w:val="24"/>
          <w:szCs w:val="24"/>
        </w:rPr>
        <w:t>solidez de las cuentas fiscales</w:t>
      </w:r>
      <w:r w:rsidRPr="005F7D0C">
        <w:t xml:space="preserve"> </w:t>
      </w:r>
      <w:r>
        <w:rPr>
          <w:rFonts w:ascii="Times New Roman" w:hAnsi="Times New Roman"/>
          <w:i/>
          <w:sz w:val="24"/>
          <w:szCs w:val="24"/>
        </w:rPr>
        <w:t>con</w:t>
      </w:r>
      <w:r w:rsidRPr="005F7D0C">
        <w:rPr>
          <w:rFonts w:ascii="Times New Roman" w:hAnsi="Times New Roman"/>
          <w:i/>
          <w:sz w:val="24"/>
          <w:szCs w:val="24"/>
        </w:rPr>
        <w:t xml:space="preserve"> un déficit promedio del 1,0% del producto</w:t>
      </w:r>
      <w:r>
        <w:rPr>
          <w:rFonts w:ascii="Times New Roman" w:hAnsi="Times New Roman"/>
          <w:i/>
          <w:sz w:val="24"/>
          <w:szCs w:val="24"/>
        </w:rPr>
        <w:t xml:space="preserve"> interno bruto (PIB). Todo esto nos ha permitido incrementar los niveles de inversión pública, en especial </w:t>
      </w:r>
      <w:r w:rsidR="009E6D06">
        <w:rPr>
          <w:rFonts w:ascii="Times New Roman" w:hAnsi="Times New Roman"/>
          <w:i/>
          <w:sz w:val="24"/>
          <w:szCs w:val="24"/>
        </w:rPr>
        <w:t xml:space="preserve">en </w:t>
      </w:r>
      <w:r>
        <w:rPr>
          <w:rFonts w:ascii="Times New Roman" w:hAnsi="Times New Roman"/>
          <w:i/>
          <w:sz w:val="24"/>
          <w:szCs w:val="24"/>
        </w:rPr>
        <w:t>los últimos tres años y medio de gobierno, indispensables para sostener el crecimiento en ésta situación regional adversa</w:t>
      </w:r>
      <w:r w:rsidR="001152B2">
        <w:rPr>
          <w:rFonts w:ascii="Times New Roman" w:hAnsi="Times New Roman"/>
          <w:i/>
          <w:sz w:val="24"/>
          <w:szCs w:val="24"/>
        </w:rPr>
        <w:t>.</w:t>
      </w:r>
    </w:p>
    <w:p w:rsidR="00CB3E74" w:rsidRPr="00177FED" w:rsidRDefault="00CB3E74" w:rsidP="00C45810">
      <w:pPr>
        <w:pStyle w:val="Textoindependiente3"/>
        <w:rPr>
          <w:rFonts w:ascii="Times New Roman" w:hAnsi="Times New Roman"/>
          <w:i/>
          <w:sz w:val="24"/>
          <w:szCs w:val="24"/>
        </w:rPr>
      </w:pPr>
    </w:p>
    <w:p w:rsidR="00CB3E74" w:rsidRPr="00177FED" w:rsidRDefault="00CB3E74" w:rsidP="00CB3E74">
      <w:pPr>
        <w:pStyle w:val="Textoindependiente3"/>
        <w:ind w:firstLine="1985"/>
        <w:rPr>
          <w:rFonts w:ascii="Times New Roman" w:hAnsi="Times New Roman"/>
          <w:i/>
          <w:sz w:val="24"/>
          <w:szCs w:val="24"/>
        </w:rPr>
      </w:pPr>
      <w:r>
        <w:rPr>
          <w:rFonts w:ascii="Times New Roman" w:hAnsi="Times New Roman"/>
          <w:i/>
          <w:sz w:val="24"/>
          <w:szCs w:val="24"/>
        </w:rPr>
        <w:t>Adicionalmente</w:t>
      </w:r>
      <w:r w:rsidRPr="00177FED">
        <w:rPr>
          <w:rFonts w:ascii="Times New Roman" w:hAnsi="Times New Roman"/>
          <w:i/>
          <w:sz w:val="24"/>
          <w:szCs w:val="24"/>
        </w:rPr>
        <w:t xml:space="preserve">, </w:t>
      </w:r>
      <w:r>
        <w:rPr>
          <w:rFonts w:ascii="Times New Roman" w:hAnsi="Times New Roman"/>
          <w:i/>
          <w:sz w:val="24"/>
          <w:szCs w:val="24"/>
        </w:rPr>
        <w:t>la economía nacional ha logrado mantener una sólida</w:t>
      </w:r>
      <w:r w:rsidRPr="00177FED">
        <w:rPr>
          <w:rFonts w:ascii="Times New Roman" w:hAnsi="Times New Roman"/>
          <w:i/>
          <w:sz w:val="24"/>
          <w:szCs w:val="24"/>
        </w:rPr>
        <w:t xml:space="preserve"> posición externa con un nivel de reservas internacionales (RIN) en torno al 2</w:t>
      </w:r>
      <w:r>
        <w:rPr>
          <w:rFonts w:ascii="Times New Roman" w:hAnsi="Times New Roman"/>
          <w:i/>
          <w:sz w:val="24"/>
          <w:szCs w:val="24"/>
        </w:rPr>
        <w:t>5</w:t>
      </w:r>
      <w:r w:rsidRPr="00177FED">
        <w:rPr>
          <w:rFonts w:ascii="Times New Roman" w:hAnsi="Times New Roman"/>
          <w:i/>
          <w:sz w:val="24"/>
          <w:szCs w:val="24"/>
        </w:rPr>
        <w:t>% del PIB y con un saldo de la cuenta corriente de -</w:t>
      </w:r>
      <w:r>
        <w:rPr>
          <w:rFonts w:ascii="Times New Roman" w:hAnsi="Times New Roman"/>
          <w:i/>
          <w:sz w:val="24"/>
          <w:szCs w:val="24"/>
        </w:rPr>
        <w:t>1</w:t>
      </w:r>
      <w:r w:rsidRPr="00177FED">
        <w:rPr>
          <w:rFonts w:ascii="Times New Roman" w:hAnsi="Times New Roman"/>
          <w:i/>
          <w:sz w:val="24"/>
          <w:szCs w:val="24"/>
        </w:rPr>
        <w:t>,</w:t>
      </w:r>
      <w:r>
        <w:rPr>
          <w:rFonts w:ascii="Times New Roman" w:hAnsi="Times New Roman"/>
          <w:i/>
          <w:sz w:val="24"/>
          <w:szCs w:val="24"/>
        </w:rPr>
        <w:t>7</w:t>
      </w:r>
      <w:r w:rsidRPr="00177FED">
        <w:rPr>
          <w:rFonts w:ascii="Times New Roman" w:hAnsi="Times New Roman"/>
          <w:i/>
          <w:sz w:val="24"/>
          <w:szCs w:val="24"/>
        </w:rPr>
        <w:t>% del PIB en el 201</w:t>
      </w:r>
      <w:r>
        <w:rPr>
          <w:rFonts w:ascii="Times New Roman" w:hAnsi="Times New Roman"/>
          <w:i/>
          <w:sz w:val="24"/>
          <w:szCs w:val="24"/>
        </w:rPr>
        <w:t>5,</w:t>
      </w:r>
      <w:r w:rsidRPr="00177FED">
        <w:rPr>
          <w:rFonts w:ascii="Times New Roman" w:hAnsi="Times New Roman"/>
          <w:i/>
          <w:sz w:val="24"/>
          <w:szCs w:val="24"/>
        </w:rPr>
        <w:t xml:space="preserve"> </w:t>
      </w:r>
      <w:r>
        <w:rPr>
          <w:rFonts w:ascii="Times New Roman" w:hAnsi="Times New Roman"/>
          <w:i/>
          <w:sz w:val="24"/>
          <w:szCs w:val="24"/>
        </w:rPr>
        <w:t>pero que ha mejorado en lo que va del año cerrando el primer trimestre con un superávit</w:t>
      </w:r>
      <w:r w:rsidR="003C7F3E">
        <w:rPr>
          <w:rFonts w:ascii="Times New Roman" w:hAnsi="Times New Roman"/>
          <w:i/>
          <w:sz w:val="24"/>
          <w:szCs w:val="24"/>
        </w:rPr>
        <w:t xml:space="preserve"> del 1,3%</w:t>
      </w:r>
      <w:r w:rsidRPr="00177FED">
        <w:rPr>
          <w:rFonts w:ascii="Times New Roman" w:hAnsi="Times New Roman"/>
          <w:i/>
          <w:sz w:val="24"/>
          <w:szCs w:val="24"/>
        </w:rPr>
        <w:t>.</w:t>
      </w:r>
    </w:p>
    <w:p w:rsidR="00723B07" w:rsidRDefault="00723B07">
      <w:pPr>
        <w:spacing w:after="200" w:line="276" w:lineRule="auto"/>
        <w:rPr>
          <w:i/>
          <w:color w:val="auto"/>
          <w:spacing w:val="0"/>
          <w:lang w:val="es-PY"/>
        </w:rPr>
      </w:pPr>
      <w:r>
        <w:rPr>
          <w:i/>
        </w:rPr>
        <w:br w:type="page"/>
      </w:r>
    </w:p>
    <w:p w:rsidR="00723B07" w:rsidRPr="00484D7D" w:rsidRDefault="00723B07" w:rsidP="00723B07">
      <w:pPr>
        <w:jc w:val="center"/>
        <w:rPr>
          <w:i/>
          <w:color w:val="000000" w:themeColor="text1"/>
          <w:lang w:val="es-ES_tradnl"/>
        </w:rPr>
      </w:pPr>
      <w:r>
        <w:rPr>
          <w:i/>
          <w:color w:val="000000" w:themeColor="text1"/>
          <w:lang w:val="es-ES_tradnl"/>
        </w:rPr>
        <w:lastRenderedPageBreak/>
        <w:t>-5-</w:t>
      </w:r>
    </w:p>
    <w:p w:rsidR="00723B07" w:rsidRDefault="00723B07" w:rsidP="00723B07">
      <w:pPr>
        <w:jc w:val="both"/>
        <w:rPr>
          <w:i/>
          <w:color w:val="000000" w:themeColor="text1"/>
          <w:lang w:val="es-ES_tradnl"/>
        </w:rPr>
      </w:pPr>
    </w:p>
    <w:p w:rsidR="00723B07" w:rsidRPr="00484D7D" w:rsidRDefault="00723B07" w:rsidP="00723B07">
      <w:pPr>
        <w:jc w:val="both"/>
        <w:rPr>
          <w:i/>
          <w:color w:val="000000" w:themeColor="text1"/>
          <w:lang w:val="es-ES_tradnl"/>
        </w:rPr>
      </w:pPr>
    </w:p>
    <w:p w:rsidR="00723B07" w:rsidRPr="00484D7D" w:rsidRDefault="00723B07" w:rsidP="00723B07">
      <w:pPr>
        <w:jc w:val="both"/>
        <w:rPr>
          <w:i/>
          <w:color w:val="000000" w:themeColor="text1"/>
          <w:lang w:val="es-ES_tradnl"/>
        </w:rPr>
      </w:pPr>
    </w:p>
    <w:p w:rsidR="00723B07" w:rsidRPr="00484D7D" w:rsidRDefault="00723B07" w:rsidP="00723B07">
      <w:pPr>
        <w:jc w:val="both"/>
        <w:rPr>
          <w:i/>
          <w:color w:val="000000" w:themeColor="text1"/>
          <w:lang w:val="es-ES_tradnl"/>
        </w:rPr>
      </w:pPr>
      <w:r w:rsidRPr="00484D7D">
        <w:rPr>
          <w:i/>
          <w:color w:val="000000" w:themeColor="text1"/>
          <w:lang w:val="es-ES_tradnl"/>
        </w:rPr>
        <w:t>N°________</w:t>
      </w:r>
    </w:p>
    <w:p w:rsidR="00723B07" w:rsidRPr="00484D7D" w:rsidRDefault="00723B07" w:rsidP="00723B07">
      <w:pPr>
        <w:jc w:val="both"/>
        <w:rPr>
          <w:i/>
          <w:color w:val="000000" w:themeColor="text1"/>
          <w:lang w:val="es-ES_tradnl"/>
        </w:rPr>
      </w:pPr>
    </w:p>
    <w:p w:rsidR="00723B07" w:rsidRPr="00484D7D" w:rsidRDefault="00723B07" w:rsidP="00723B07">
      <w:pPr>
        <w:jc w:val="both"/>
        <w:rPr>
          <w:i/>
          <w:color w:val="000000" w:themeColor="text1"/>
          <w:lang w:val="es-ES_tradnl"/>
        </w:rPr>
      </w:pPr>
    </w:p>
    <w:p w:rsidR="00CB3E74" w:rsidRPr="00177FED" w:rsidRDefault="00CB3E74" w:rsidP="00C45810">
      <w:pPr>
        <w:pStyle w:val="Textoindependiente3"/>
        <w:rPr>
          <w:rFonts w:ascii="Times New Roman" w:hAnsi="Times New Roman"/>
          <w:i/>
          <w:sz w:val="24"/>
          <w:szCs w:val="24"/>
        </w:rPr>
      </w:pPr>
    </w:p>
    <w:p w:rsidR="00CB3E74" w:rsidRDefault="00CB3E74" w:rsidP="00CB3E74">
      <w:pPr>
        <w:pStyle w:val="Textoindependiente3"/>
        <w:ind w:firstLine="1985"/>
        <w:rPr>
          <w:rFonts w:ascii="Times New Roman" w:hAnsi="Times New Roman"/>
          <w:i/>
          <w:sz w:val="24"/>
          <w:szCs w:val="24"/>
        </w:rPr>
      </w:pPr>
      <w:r w:rsidRPr="003E66E8">
        <w:rPr>
          <w:rFonts w:ascii="Times New Roman" w:hAnsi="Times New Roman"/>
          <w:i/>
          <w:sz w:val="24"/>
          <w:szCs w:val="24"/>
        </w:rPr>
        <w:t>Nuestra economía resintió durante el segundo semestre del 2015 los vaivenes de la coyuntura internacional con bajos precios de materias primas y una demanda externa débil, en especial de nuestros vecinos comerciales como Argentina y Brasil, que registraron tasas de crecimiento de 1,2% y de -3,8% respectivamente.  En éste contexto luego de un crecimiento del 4,7% en el 2014, la actividad económica se desacelera y crece a una tasa del 3,1% en el 2015, por debajo de las previsiones iniciales</w:t>
      </w:r>
      <w:r>
        <w:rPr>
          <w:rFonts w:ascii="Times New Roman" w:hAnsi="Times New Roman"/>
          <w:i/>
          <w:sz w:val="24"/>
          <w:szCs w:val="24"/>
        </w:rPr>
        <w:t>.</w:t>
      </w:r>
    </w:p>
    <w:p w:rsidR="00CB3E74" w:rsidRDefault="00CB3E74" w:rsidP="00E83B52">
      <w:pPr>
        <w:pStyle w:val="Textoindependiente3"/>
        <w:rPr>
          <w:rFonts w:ascii="Times New Roman" w:hAnsi="Times New Roman"/>
          <w:i/>
          <w:sz w:val="24"/>
          <w:szCs w:val="24"/>
        </w:rPr>
      </w:pPr>
    </w:p>
    <w:p w:rsidR="00CB3E74" w:rsidRPr="00177FED" w:rsidRDefault="00CB3E74" w:rsidP="00CB3E74">
      <w:pPr>
        <w:pStyle w:val="Textoindependiente3"/>
        <w:ind w:firstLine="1985"/>
        <w:rPr>
          <w:rFonts w:ascii="Times New Roman" w:hAnsi="Times New Roman"/>
          <w:i/>
          <w:sz w:val="24"/>
          <w:szCs w:val="24"/>
        </w:rPr>
      </w:pPr>
      <w:r w:rsidRPr="004F2332">
        <w:rPr>
          <w:rFonts w:ascii="Times New Roman" w:hAnsi="Times New Roman"/>
          <w:i/>
          <w:sz w:val="24"/>
          <w:szCs w:val="24"/>
        </w:rPr>
        <w:t>En éste sentido se debe destacar el cambio en los sectores que apuntalaron el crecimiento</w:t>
      </w:r>
      <w:r w:rsidR="00316875">
        <w:rPr>
          <w:rFonts w:ascii="Times New Roman" w:hAnsi="Times New Roman"/>
          <w:i/>
          <w:sz w:val="24"/>
          <w:szCs w:val="24"/>
        </w:rPr>
        <w:t>. M</w:t>
      </w:r>
      <w:r w:rsidRPr="004F2332">
        <w:rPr>
          <w:rFonts w:ascii="Times New Roman" w:hAnsi="Times New Roman"/>
          <w:i/>
          <w:sz w:val="24"/>
          <w:szCs w:val="24"/>
        </w:rPr>
        <w:t xml:space="preserve">ientras que durante el 2015 la agricultura y las binacionales en su conjunto presentaron un aporte al crecimiento </w:t>
      </w:r>
      <w:r>
        <w:rPr>
          <w:rFonts w:ascii="Times New Roman" w:hAnsi="Times New Roman"/>
          <w:i/>
          <w:sz w:val="24"/>
          <w:szCs w:val="24"/>
        </w:rPr>
        <w:t xml:space="preserve">de </w:t>
      </w:r>
      <w:r w:rsidRPr="004F2332">
        <w:rPr>
          <w:rFonts w:ascii="Times New Roman" w:hAnsi="Times New Roman"/>
          <w:i/>
          <w:sz w:val="24"/>
          <w:szCs w:val="24"/>
        </w:rPr>
        <w:t>1,2%</w:t>
      </w:r>
      <w:r w:rsidR="00316875">
        <w:rPr>
          <w:rFonts w:ascii="Times New Roman" w:hAnsi="Times New Roman"/>
          <w:i/>
          <w:sz w:val="24"/>
          <w:szCs w:val="24"/>
        </w:rPr>
        <w:t>, e</w:t>
      </w:r>
      <w:r w:rsidR="00837FDE">
        <w:rPr>
          <w:rFonts w:ascii="Times New Roman" w:hAnsi="Times New Roman"/>
          <w:i/>
          <w:sz w:val="24"/>
          <w:szCs w:val="24"/>
        </w:rPr>
        <w:t>n el 2016 e</w:t>
      </w:r>
      <w:r w:rsidRPr="004F2332">
        <w:rPr>
          <w:rFonts w:ascii="Times New Roman" w:hAnsi="Times New Roman"/>
          <w:i/>
          <w:sz w:val="24"/>
          <w:szCs w:val="24"/>
        </w:rPr>
        <w:t>stos sectores se estima que se recuperen y aporten</w:t>
      </w:r>
      <w:r w:rsidR="004D245D">
        <w:rPr>
          <w:rFonts w:ascii="Times New Roman" w:hAnsi="Times New Roman"/>
          <w:i/>
          <w:sz w:val="24"/>
          <w:szCs w:val="24"/>
        </w:rPr>
        <w:t xml:space="preserve"> con un crecimiento del 1,5%, do</w:t>
      </w:r>
      <w:r w:rsidRPr="004F2332">
        <w:rPr>
          <w:rFonts w:ascii="Times New Roman" w:hAnsi="Times New Roman"/>
          <w:i/>
          <w:sz w:val="24"/>
          <w:szCs w:val="24"/>
        </w:rPr>
        <w:t xml:space="preserve">nde el crecimiento </w:t>
      </w:r>
      <w:r w:rsidR="00316875">
        <w:rPr>
          <w:rFonts w:ascii="Times New Roman" w:hAnsi="Times New Roman"/>
          <w:i/>
          <w:sz w:val="24"/>
          <w:szCs w:val="24"/>
        </w:rPr>
        <w:t xml:space="preserve">sectorial </w:t>
      </w:r>
      <w:r w:rsidRPr="004F2332">
        <w:rPr>
          <w:rFonts w:ascii="Times New Roman" w:hAnsi="Times New Roman"/>
          <w:i/>
          <w:sz w:val="24"/>
          <w:szCs w:val="24"/>
        </w:rPr>
        <w:t>de las binacionales será del 11%.</w:t>
      </w:r>
    </w:p>
    <w:p w:rsidR="00CB3E74" w:rsidRPr="00177FED" w:rsidRDefault="00CB3E74" w:rsidP="00E83B52">
      <w:pPr>
        <w:pStyle w:val="Textoindependiente3"/>
        <w:rPr>
          <w:rFonts w:ascii="Times New Roman" w:hAnsi="Times New Roman"/>
          <w:i/>
          <w:sz w:val="24"/>
          <w:szCs w:val="24"/>
        </w:rPr>
      </w:pPr>
    </w:p>
    <w:p w:rsidR="00CB3E74" w:rsidRPr="00177FED" w:rsidRDefault="00CB3E74" w:rsidP="00CB3E74">
      <w:pPr>
        <w:pStyle w:val="Textoindependiente3"/>
        <w:ind w:firstLine="1985"/>
        <w:rPr>
          <w:rFonts w:ascii="Times New Roman" w:hAnsi="Times New Roman"/>
          <w:i/>
          <w:sz w:val="24"/>
          <w:szCs w:val="24"/>
        </w:rPr>
      </w:pPr>
      <w:r>
        <w:rPr>
          <w:rFonts w:ascii="Times New Roman" w:hAnsi="Times New Roman"/>
          <w:i/>
          <w:sz w:val="24"/>
          <w:szCs w:val="24"/>
        </w:rPr>
        <w:t>L</w:t>
      </w:r>
      <w:r w:rsidRPr="00177FED">
        <w:rPr>
          <w:rFonts w:ascii="Times New Roman" w:hAnsi="Times New Roman"/>
          <w:i/>
          <w:sz w:val="24"/>
          <w:szCs w:val="24"/>
        </w:rPr>
        <w:t xml:space="preserve">as previsiones iniciales de crecimiento de la economía </w:t>
      </w:r>
      <w:r>
        <w:rPr>
          <w:rFonts w:ascii="Times New Roman" w:hAnsi="Times New Roman"/>
          <w:i/>
          <w:sz w:val="24"/>
          <w:szCs w:val="24"/>
        </w:rPr>
        <w:t xml:space="preserve">para </w:t>
      </w:r>
      <w:r w:rsidRPr="00177FED">
        <w:rPr>
          <w:rFonts w:ascii="Times New Roman" w:hAnsi="Times New Roman"/>
          <w:i/>
          <w:sz w:val="24"/>
          <w:szCs w:val="24"/>
        </w:rPr>
        <w:t>el año 201</w:t>
      </w:r>
      <w:r>
        <w:rPr>
          <w:rFonts w:ascii="Times New Roman" w:hAnsi="Times New Roman"/>
          <w:i/>
          <w:sz w:val="24"/>
          <w:szCs w:val="24"/>
        </w:rPr>
        <w:t xml:space="preserve">6 </w:t>
      </w:r>
      <w:r w:rsidRPr="00177FED">
        <w:rPr>
          <w:rFonts w:ascii="Times New Roman" w:hAnsi="Times New Roman"/>
          <w:i/>
          <w:sz w:val="24"/>
          <w:szCs w:val="24"/>
        </w:rPr>
        <w:t xml:space="preserve">se encontraban en torno al </w:t>
      </w:r>
      <w:r>
        <w:rPr>
          <w:rFonts w:ascii="Times New Roman" w:hAnsi="Times New Roman"/>
          <w:i/>
          <w:sz w:val="24"/>
          <w:szCs w:val="24"/>
        </w:rPr>
        <w:t>3,0</w:t>
      </w:r>
      <w:r w:rsidRPr="00177FED">
        <w:rPr>
          <w:rFonts w:ascii="Times New Roman" w:hAnsi="Times New Roman"/>
          <w:i/>
          <w:sz w:val="24"/>
          <w:szCs w:val="24"/>
        </w:rPr>
        <w:t>%</w:t>
      </w:r>
      <w:r>
        <w:rPr>
          <w:rFonts w:ascii="Times New Roman" w:hAnsi="Times New Roman"/>
          <w:i/>
          <w:sz w:val="24"/>
          <w:szCs w:val="24"/>
        </w:rPr>
        <w:t>.</w:t>
      </w:r>
      <w:r w:rsidRPr="00177FED">
        <w:rPr>
          <w:rFonts w:ascii="Times New Roman" w:hAnsi="Times New Roman"/>
          <w:i/>
          <w:sz w:val="24"/>
          <w:szCs w:val="24"/>
        </w:rPr>
        <w:t xml:space="preserve"> </w:t>
      </w:r>
      <w:r>
        <w:rPr>
          <w:rFonts w:ascii="Times New Roman" w:hAnsi="Times New Roman"/>
          <w:i/>
          <w:sz w:val="24"/>
          <w:szCs w:val="24"/>
        </w:rPr>
        <w:t>S</w:t>
      </w:r>
      <w:r w:rsidRPr="00177FED">
        <w:rPr>
          <w:rFonts w:ascii="Times New Roman" w:hAnsi="Times New Roman"/>
          <w:i/>
          <w:sz w:val="24"/>
          <w:szCs w:val="24"/>
        </w:rPr>
        <w:t xml:space="preserve">in embargo, con los últimos datos de </w:t>
      </w:r>
      <w:r>
        <w:rPr>
          <w:rFonts w:ascii="Times New Roman" w:hAnsi="Times New Roman"/>
          <w:i/>
          <w:sz w:val="24"/>
          <w:szCs w:val="24"/>
        </w:rPr>
        <w:t xml:space="preserve">un sólido repunte de la </w:t>
      </w:r>
      <w:r w:rsidRPr="00177FED">
        <w:rPr>
          <w:rFonts w:ascii="Times New Roman" w:hAnsi="Times New Roman"/>
          <w:i/>
          <w:sz w:val="24"/>
          <w:szCs w:val="24"/>
        </w:rPr>
        <w:t xml:space="preserve">actividad económica </w:t>
      </w:r>
      <w:r>
        <w:rPr>
          <w:rFonts w:ascii="Times New Roman" w:hAnsi="Times New Roman"/>
          <w:i/>
          <w:sz w:val="24"/>
          <w:szCs w:val="24"/>
        </w:rPr>
        <w:t xml:space="preserve">interna </w:t>
      </w:r>
      <w:r w:rsidRPr="00177FED">
        <w:rPr>
          <w:rFonts w:ascii="Times New Roman" w:hAnsi="Times New Roman"/>
          <w:i/>
          <w:sz w:val="24"/>
          <w:szCs w:val="24"/>
        </w:rPr>
        <w:t xml:space="preserve">y el contexto externo </w:t>
      </w:r>
      <w:r>
        <w:rPr>
          <w:rFonts w:ascii="Times New Roman" w:hAnsi="Times New Roman"/>
          <w:i/>
          <w:sz w:val="24"/>
          <w:szCs w:val="24"/>
        </w:rPr>
        <w:t>con señales relativas de mejora</w:t>
      </w:r>
      <w:r w:rsidRPr="00177FED">
        <w:rPr>
          <w:rFonts w:ascii="Times New Roman" w:hAnsi="Times New Roman"/>
          <w:i/>
          <w:sz w:val="24"/>
          <w:szCs w:val="24"/>
        </w:rPr>
        <w:t xml:space="preserve">, </w:t>
      </w:r>
      <w:r>
        <w:rPr>
          <w:rFonts w:ascii="Times New Roman" w:hAnsi="Times New Roman"/>
          <w:i/>
          <w:sz w:val="24"/>
          <w:szCs w:val="24"/>
        </w:rPr>
        <w:t>esa proyección fue</w:t>
      </w:r>
      <w:r w:rsidRPr="00177FED">
        <w:rPr>
          <w:rFonts w:ascii="Times New Roman" w:hAnsi="Times New Roman"/>
          <w:i/>
          <w:sz w:val="24"/>
          <w:szCs w:val="24"/>
        </w:rPr>
        <w:t xml:space="preserve"> corregid</w:t>
      </w:r>
      <w:r>
        <w:rPr>
          <w:rFonts w:ascii="Times New Roman" w:hAnsi="Times New Roman"/>
          <w:i/>
          <w:sz w:val="24"/>
          <w:szCs w:val="24"/>
        </w:rPr>
        <w:t>a</w:t>
      </w:r>
      <w:r w:rsidRPr="00177FED">
        <w:rPr>
          <w:rFonts w:ascii="Times New Roman" w:hAnsi="Times New Roman"/>
          <w:i/>
          <w:sz w:val="24"/>
          <w:szCs w:val="24"/>
        </w:rPr>
        <w:t xml:space="preserve"> </w:t>
      </w:r>
      <w:r>
        <w:rPr>
          <w:rFonts w:ascii="Times New Roman" w:hAnsi="Times New Roman"/>
          <w:i/>
          <w:sz w:val="24"/>
          <w:szCs w:val="24"/>
        </w:rPr>
        <w:t>al alza</w:t>
      </w:r>
      <w:r w:rsidRPr="00177FED">
        <w:rPr>
          <w:rFonts w:ascii="Times New Roman" w:hAnsi="Times New Roman"/>
          <w:i/>
          <w:sz w:val="24"/>
          <w:szCs w:val="24"/>
        </w:rPr>
        <w:t xml:space="preserve"> hasta el </w:t>
      </w:r>
      <w:r>
        <w:rPr>
          <w:rFonts w:ascii="Times New Roman" w:hAnsi="Times New Roman"/>
          <w:i/>
          <w:sz w:val="24"/>
          <w:szCs w:val="24"/>
        </w:rPr>
        <w:t>3,5</w:t>
      </w:r>
      <w:r w:rsidRPr="00177FED">
        <w:rPr>
          <w:rFonts w:ascii="Times New Roman" w:hAnsi="Times New Roman"/>
          <w:i/>
          <w:sz w:val="24"/>
          <w:szCs w:val="24"/>
        </w:rPr>
        <w:t xml:space="preserve">%, </w:t>
      </w:r>
      <w:r>
        <w:rPr>
          <w:rFonts w:ascii="Times New Roman" w:hAnsi="Times New Roman"/>
          <w:i/>
          <w:sz w:val="24"/>
          <w:szCs w:val="24"/>
        </w:rPr>
        <w:t>que supone</w:t>
      </w:r>
      <w:r w:rsidRPr="00177FED">
        <w:rPr>
          <w:rFonts w:ascii="Times New Roman" w:hAnsi="Times New Roman"/>
          <w:i/>
          <w:sz w:val="24"/>
          <w:szCs w:val="24"/>
        </w:rPr>
        <w:t xml:space="preserve"> una </w:t>
      </w:r>
      <w:r>
        <w:rPr>
          <w:rFonts w:ascii="Times New Roman" w:hAnsi="Times New Roman"/>
          <w:i/>
          <w:sz w:val="24"/>
          <w:szCs w:val="24"/>
        </w:rPr>
        <w:t>recuperación</w:t>
      </w:r>
      <w:r w:rsidRPr="00177FED">
        <w:rPr>
          <w:rFonts w:ascii="Times New Roman" w:hAnsi="Times New Roman"/>
          <w:i/>
          <w:sz w:val="24"/>
          <w:szCs w:val="24"/>
        </w:rPr>
        <w:t xml:space="preserve"> del ritmo de crecimiento</w:t>
      </w:r>
      <w:r>
        <w:rPr>
          <w:rFonts w:ascii="Times New Roman" w:hAnsi="Times New Roman"/>
          <w:i/>
          <w:sz w:val="24"/>
          <w:szCs w:val="24"/>
        </w:rPr>
        <w:t>. E</w:t>
      </w:r>
      <w:r w:rsidRPr="00177FED">
        <w:rPr>
          <w:rFonts w:ascii="Times New Roman" w:hAnsi="Times New Roman"/>
          <w:i/>
          <w:sz w:val="24"/>
          <w:szCs w:val="24"/>
        </w:rPr>
        <w:t xml:space="preserve">s importante resaltar que </w:t>
      </w:r>
      <w:r>
        <w:rPr>
          <w:rFonts w:ascii="Times New Roman" w:hAnsi="Times New Roman"/>
          <w:i/>
          <w:sz w:val="24"/>
          <w:szCs w:val="24"/>
        </w:rPr>
        <w:t xml:space="preserve">se estima que </w:t>
      </w:r>
      <w:r w:rsidRPr="00177FED">
        <w:rPr>
          <w:rFonts w:ascii="Times New Roman" w:hAnsi="Times New Roman"/>
          <w:i/>
          <w:sz w:val="24"/>
          <w:szCs w:val="24"/>
        </w:rPr>
        <w:t>la economía paraguaya seguiría creciendo en los próximos años por encima del promedio de la región.</w:t>
      </w:r>
    </w:p>
    <w:p w:rsidR="00CB3E74" w:rsidRPr="00177FED" w:rsidRDefault="00CB3E74" w:rsidP="00E83B52">
      <w:pPr>
        <w:pStyle w:val="Textoindependiente3"/>
        <w:rPr>
          <w:rFonts w:ascii="Times New Roman" w:hAnsi="Times New Roman"/>
          <w:i/>
          <w:sz w:val="24"/>
          <w:szCs w:val="24"/>
        </w:rPr>
      </w:pPr>
    </w:p>
    <w:p w:rsidR="00CB3E74" w:rsidRDefault="00CB3E74" w:rsidP="001244CC">
      <w:pPr>
        <w:pStyle w:val="Textoindependiente3"/>
        <w:ind w:firstLine="1985"/>
        <w:rPr>
          <w:rFonts w:ascii="Times New Roman" w:hAnsi="Times New Roman"/>
          <w:i/>
          <w:sz w:val="24"/>
          <w:szCs w:val="24"/>
        </w:rPr>
      </w:pPr>
      <w:r w:rsidRPr="00177FED">
        <w:rPr>
          <w:rFonts w:ascii="Times New Roman" w:hAnsi="Times New Roman"/>
          <w:i/>
          <w:sz w:val="24"/>
          <w:szCs w:val="24"/>
        </w:rPr>
        <w:t xml:space="preserve">Algunos indicadores adelantados de la actividad económica </w:t>
      </w:r>
      <w:r>
        <w:rPr>
          <w:rFonts w:ascii="Times New Roman" w:hAnsi="Times New Roman"/>
          <w:i/>
          <w:sz w:val="24"/>
          <w:szCs w:val="24"/>
        </w:rPr>
        <w:t>confirman la recuperación del ritmo de crecimiento</w:t>
      </w:r>
      <w:r w:rsidRPr="00177FED">
        <w:rPr>
          <w:rFonts w:ascii="Times New Roman" w:hAnsi="Times New Roman"/>
          <w:i/>
          <w:sz w:val="24"/>
          <w:szCs w:val="24"/>
        </w:rPr>
        <w:t xml:space="preserve"> para este año, como el Indicador Mensual de Actividad Económica del Paraguay (IMAEP)</w:t>
      </w:r>
      <w:r>
        <w:rPr>
          <w:rFonts w:ascii="Times New Roman" w:hAnsi="Times New Roman"/>
          <w:i/>
          <w:sz w:val="24"/>
          <w:szCs w:val="24"/>
        </w:rPr>
        <w:t xml:space="preserve"> que </w:t>
      </w:r>
      <w:r w:rsidRPr="00177FED">
        <w:rPr>
          <w:rFonts w:ascii="Times New Roman" w:hAnsi="Times New Roman"/>
          <w:i/>
          <w:sz w:val="24"/>
          <w:szCs w:val="24"/>
        </w:rPr>
        <w:t xml:space="preserve">ha registrado un crecimiento promedio del </w:t>
      </w:r>
      <w:r>
        <w:rPr>
          <w:rFonts w:ascii="Times New Roman" w:hAnsi="Times New Roman"/>
          <w:i/>
          <w:sz w:val="24"/>
          <w:szCs w:val="24"/>
        </w:rPr>
        <w:t>6,4</w:t>
      </w:r>
      <w:r w:rsidRPr="00177FED">
        <w:rPr>
          <w:rFonts w:ascii="Times New Roman" w:hAnsi="Times New Roman"/>
          <w:i/>
          <w:sz w:val="24"/>
          <w:szCs w:val="24"/>
        </w:rPr>
        <w:t xml:space="preserve">% </w:t>
      </w:r>
      <w:r>
        <w:rPr>
          <w:rFonts w:ascii="Times New Roman" w:hAnsi="Times New Roman"/>
          <w:i/>
          <w:sz w:val="24"/>
          <w:szCs w:val="24"/>
        </w:rPr>
        <w:t>durante el segundo trimestre, luego de crecer solo a una tasa del 1,5% durante el primer trimestre.</w:t>
      </w:r>
    </w:p>
    <w:p w:rsidR="00CB3E74" w:rsidRPr="00177FED" w:rsidRDefault="00CB3E74" w:rsidP="00CB3E74">
      <w:pPr>
        <w:pStyle w:val="Textoindependiente3"/>
        <w:rPr>
          <w:rFonts w:ascii="Times New Roman" w:hAnsi="Times New Roman"/>
          <w:i/>
          <w:sz w:val="24"/>
          <w:szCs w:val="24"/>
        </w:rPr>
      </w:pPr>
    </w:p>
    <w:p w:rsidR="00CB3E74" w:rsidRPr="00177FED" w:rsidRDefault="00CB3E74" w:rsidP="00CB3E74">
      <w:pPr>
        <w:pStyle w:val="Textoindependiente3"/>
        <w:ind w:firstLine="1985"/>
        <w:rPr>
          <w:rFonts w:ascii="Times New Roman" w:hAnsi="Times New Roman"/>
          <w:i/>
          <w:sz w:val="24"/>
          <w:szCs w:val="24"/>
        </w:rPr>
      </w:pPr>
      <w:r>
        <w:rPr>
          <w:rFonts w:ascii="Times New Roman" w:hAnsi="Times New Roman"/>
          <w:i/>
          <w:sz w:val="24"/>
          <w:szCs w:val="24"/>
        </w:rPr>
        <w:t>L</w:t>
      </w:r>
      <w:r w:rsidRPr="00177FED">
        <w:rPr>
          <w:rFonts w:ascii="Times New Roman" w:hAnsi="Times New Roman"/>
          <w:i/>
          <w:sz w:val="24"/>
          <w:szCs w:val="24"/>
        </w:rPr>
        <w:t>a inflación se ha mantenido baja y estable. Al mes de julio de 201</w:t>
      </w:r>
      <w:r>
        <w:rPr>
          <w:rFonts w:ascii="Times New Roman" w:hAnsi="Times New Roman"/>
          <w:i/>
          <w:sz w:val="24"/>
          <w:szCs w:val="24"/>
        </w:rPr>
        <w:t>6</w:t>
      </w:r>
      <w:r w:rsidRPr="00177FED">
        <w:rPr>
          <w:rFonts w:ascii="Times New Roman" w:hAnsi="Times New Roman"/>
          <w:i/>
          <w:sz w:val="24"/>
          <w:szCs w:val="24"/>
        </w:rPr>
        <w:t>, la inflación acumulada fue del 2,</w:t>
      </w:r>
      <w:r>
        <w:rPr>
          <w:rFonts w:ascii="Times New Roman" w:hAnsi="Times New Roman"/>
          <w:i/>
          <w:sz w:val="24"/>
          <w:szCs w:val="24"/>
        </w:rPr>
        <w:t>0</w:t>
      </w:r>
      <w:r w:rsidRPr="00177FED">
        <w:rPr>
          <w:rFonts w:ascii="Times New Roman" w:hAnsi="Times New Roman"/>
          <w:i/>
          <w:sz w:val="24"/>
          <w:szCs w:val="24"/>
        </w:rPr>
        <w:t>%, por debajo del 2,</w:t>
      </w:r>
      <w:r>
        <w:rPr>
          <w:rFonts w:ascii="Times New Roman" w:hAnsi="Times New Roman"/>
          <w:i/>
          <w:sz w:val="24"/>
          <w:szCs w:val="24"/>
        </w:rPr>
        <w:t>2</w:t>
      </w:r>
      <w:r w:rsidRPr="00177FED">
        <w:rPr>
          <w:rFonts w:ascii="Times New Roman" w:hAnsi="Times New Roman"/>
          <w:i/>
          <w:sz w:val="24"/>
          <w:szCs w:val="24"/>
        </w:rPr>
        <w:t xml:space="preserve">% verificado en el mismo periodo del año anterior. La inflación interanual, por su parte, fue del </w:t>
      </w:r>
      <w:r>
        <w:rPr>
          <w:rFonts w:ascii="Times New Roman" w:hAnsi="Times New Roman"/>
          <w:i/>
          <w:sz w:val="24"/>
          <w:szCs w:val="24"/>
        </w:rPr>
        <w:t>2,9</w:t>
      </w:r>
      <w:r w:rsidRPr="00177FED">
        <w:rPr>
          <w:rFonts w:ascii="Times New Roman" w:hAnsi="Times New Roman"/>
          <w:i/>
          <w:sz w:val="24"/>
          <w:szCs w:val="24"/>
        </w:rPr>
        <w:t>%, nivel que se mantiene por debajo de la meta anual del B</w:t>
      </w:r>
      <w:r w:rsidR="00E83B52">
        <w:rPr>
          <w:rFonts w:ascii="Times New Roman" w:hAnsi="Times New Roman"/>
          <w:i/>
          <w:sz w:val="24"/>
          <w:szCs w:val="24"/>
        </w:rPr>
        <w:t xml:space="preserve">anco </w:t>
      </w:r>
      <w:r w:rsidRPr="00177FED">
        <w:rPr>
          <w:rFonts w:ascii="Times New Roman" w:hAnsi="Times New Roman"/>
          <w:i/>
          <w:sz w:val="24"/>
          <w:szCs w:val="24"/>
        </w:rPr>
        <w:t>C</w:t>
      </w:r>
      <w:r w:rsidR="00E83B52">
        <w:rPr>
          <w:rFonts w:ascii="Times New Roman" w:hAnsi="Times New Roman"/>
          <w:i/>
          <w:sz w:val="24"/>
          <w:szCs w:val="24"/>
        </w:rPr>
        <w:t xml:space="preserve">entral de </w:t>
      </w:r>
      <w:r w:rsidRPr="00177FED">
        <w:rPr>
          <w:rFonts w:ascii="Times New Roman" w:hAnsi="Times New Roman"/>
          <w:i/>
          <w:sz w:val="24"/>
          <w:szCs w:val="24"/>
        </w:rPr>
        <w:t>P</w:t>
      </w:r>
      <w:r w:rsidR="00E83B52">
        <w:rPr>
          <w:rFonts w:ascii="Times New Roman" w:hAnsi="Times New Roman"/>
          <w:i/>
          <w:sz w:val="24"/>
          <w:szCs w:val="24"/>
        </w:rPr>
        <w:t>araguay (BCP)</w:t>
      </w:r>
      <w:r>
        <w:rPr>
          <w:rFonts w:ascii="Times New Roman" w:hAnsi="Times New Roman"/>
          <w:i/>
          <w:sz w:val="24"/>
          <w:szCs w:val="24"/>
        </w:rPr>
        <w:t xml:space="preserve"> de</w:t>
      </w:r>
      <w:r w:rsidRPr="00177FED">
        <w:rPr>
          <w:rFonts w:ascii="Times New Roman" w:hAnsi="Times New Roman"/>
          <w:i/>
          <w:sz w:val="24"/>
          <w:szCs w:val="24"/>
        </w:rPr>
        <w:t xml:space="preserve"> 4,5% </w:t>
      </w:r>
      <w:r>
        <w:rPr>
          <w:rFonts w:ascii="Times New Roman" w:hAnsi="Times New Roman"/>
          <w:i/>
          <w:sz w:val="24"/>
          <w:szCs w:val="24"/>
        </w:rPr>
        <w:t xml:space="preserve">y </w:t>
      </w:r>
      <w:r w:rsidRPr="00177FED">
        <w:rPr>
          <w:rFonts w:ascii="Times New Roman" w:hAnsi="Times New Roman"/>
          <w:i/>
          <w:sz w:val="24"/>
          <w:szCs w:val="24"/>
        </w:rPr>
        <w:t>que se</w:t>
      </w:r>
      <w:r>
        <w:rPr>
          <w:rFonts w:ascii="Times New Roman" w:hAnsi="Times New Roman"/>
          <w:i/>
          <w:sz w:val="24"/>
          <w:szCs w:val="24"/>
        </w:rPr>
        <w:t xml:space="preserve"> espera se</w:t>
      </w:r>
      <w:r w:rsidRPr="00177FED">
        <w:rPr>
          <w:rFonts w:ascii="Times New Roman" w:hAnsi="Times New Roman"/>
          <w:i/>
          <w:sz w:val="24"/>
          <w:szCs w:val="24"/>
        </w:rPr>
        <w:t xml:space="preserve"> manten</w:t>
      </w:r>
      <w:r>
        <w:rPr>
          <w:rFonts w:ascii="Times New Roman" w:hAnsi="Times New Roman"/>
          <w:i/>
          <w:sz w:val="24"/>
          <w:szCs w:val="24"/>
        </w:rPr>
        <w:t>ga</w:t>
      </w:r>
      <w:r w:rsidRPr="00177FED">
        <w:rPr>
          <w:rFonts w:ascii="Times New Roman" w:hAnsi="Times New Roman"/>
          <w:i/>
          <w:sz w:val="24"/>
          <w:szCs w:val="24"/>
        </w:rPr>
        <w:t xml:space="preserve"> </w:t>
      </w:r>
      <w:r>
        <w:rPr>
          <w:rFonts w:ascii="Times New Roman" w:hAnsi="Times New Roman"/>
          <w:i/>
          <w:sz w:val="24"/>
          <w:szCs w:val="24"/>
        </w:rPr>
        <w:t xml:space="preserve">en </w:t>
      </w:r>
      <w:r w:rsidRPr="00177FED">
        <w:rPr>
          <w:rFonts w:ascii="Times New Roman" w:hAnsi="Times New Roman"/>
          <w:i/>
          <w:sz w:val="24"/>
          <w:szCs w:val="24"/>
        </w:rPr>
        <w:t xml:space="preserve">un nivel similar </w:t>
      </w:r>
      <w:r>
        <w:rPr>
          <w:rFonts w:ascii="Times New Roman" w:hAnsi="Times New Roman"/>
          <w:i/>
          <w:sz w:val="24"/>
          <w:szCs w:val="24"/>
        </w:rPr>
        <w:t>en el 2017</w:t>
      </w:r>
      <w:r w:rsidRPr="00177FED">
        <w:rPr>
          <w:rFonts w:ascii="Times New Roman" w:hAnsi="Times New Roman"/>
          <w:i/>
          <w:sz w:val="24"/>
          <w:szCs w:val="24"/>
        </w:rPr>
        <w:t>.</w:t>
      </w:r>
    </w:p>
    <w:p w:rsidR="00E83B52" w:rsidRDefault="00E83B52">
      <w:pPr>
        <w:spacing w:after="200" w:line="276" w:lineRule="auto"/>
        <w:rPr>
          <w:i/>
          <w:color w:val="auto"/>
          <w:spacing w:val="0"/>
          <w:lang w:val="es-PY"/>
        </w:rPr>
      </w:pPr>
      <w:r>
        <w:rPr>
          <w:i/>
        </w:rPr>
        <w:br w:type="page"/>
      </w:r>
    </w:p>
    <w:p w:rsidR="00147CFD" w:rsidRPr="00484D7D" w:rsidRDefault="00147CFD" w:rsidP="00147CFD">
      <w:pPr>
        <w:jc w:val="center"/>
        <w:rPr>
          <w:i/>
          <w:color w:val="000000" w:themeColor="text1"/>
          <w:lang w:val="es-ES_tradnl"/>
        </w:rPr>
      </w:pPr>
      <w:r>
        <w:rPr>
          <w:i/>
          <w:color w:val="000000" w:themeColor="text1"/>
          <w:lang w:val="es-ES_tradnl"/>
        </w:rPr>
        <w:lastRenderedPageBreak/>
        <w:t>-6-</w:t>
      </w:r>
    </w:p>
    <w:p w:rsidR="00147CFD" w:rsidRDefault="00147CFD" w:rsidP="00147CFD">
      <w:pPr>
        <w:jc w:val="both"/>
        <w:rPr>
          <w:i/>
          <w:color w:val="000000" w:themeColor="text1"/>
          <w:lang w:val="es-ES_tradnl"/>
        </w:rPr>
      </w:pPr>
    </w:p>
    <w:p w:rsidR="00147CFD" w:rsidRPr="00484D7D" w:rsidRDefault="00147CFD" w:rsidP="00147CFD">
      <w:pPr>
        <w:jc w:val="both"/>
        <w:rPr>
          <w:i/>
          <w:color w:val="000000" w:themeColor="text1"/>
          <w:lang w:val="es-ES_tradnl"/>
        </w:rPr>
      </w:pPr>
    </w:p>
    <w:p w:rsidR="00147CFD" w:rsidRPr="00484D7D" w:rsidRDefault="00147CFD" w:rsidP="00147CFD">
      <w:pPr>
        <w:jc w:val="both"/>
        <w:rPr>
          <w:i/>
          <w:color w:val="000000" w:themeColor="text1"/>
          <w:lang w:val="es-ES_tradnl"/>
        </w:rPr>
      </w:pPr>
    </w:p>
    <w:p w:rsidR="00147CFD" w:rsidRPr="00484D7D" w:rsidRDefault="00147CFD" w:rsidP="00147CFD">
      <w:pPr>
        <w:jc w:val="both"/>
        <w:rPr>
          <w:i/>
          <w:color w:val="000000" w:themeColor="text1"/>
          <w:lang w:val="es-ES_tradnl"/>
        </w:rPr>
      </w:pPr>
      <w:r w:rsidRPr="00484D7D">
        <w:rPr>
          <w:i/>
          <w:color w:val="000000" w:themeColor="text1"/>
          <w:lang w:val="es-ES_tradnl"/>
        </w:rPr>
        <w:t>N°________</w:t>
      </w:r>
    </w:p>
    <w:p w:rsidR="00147CFD" w:rsidRPr="00484D7D" w:rsidRDefault="00147CFD" w:rsidP="00147CFD">
      <w:pPr>
        <w:jc w:val="both"/>
        <w:rPr>
          <w:i/>
          <w:color w:val="000000" w:themeColor="text1"/>
          <w:lang w:val="es-ES_tradnl"/>
        </w:rPr>
      </w:pPr>
    </w:p>
    <w:p w:rsidR="00147CFD" w:rsidRPr="00484D7D" w:rsidRDefault="00147CFD" w:rsidP="00147CFD">
      <w:pPr>
        <w:jc w:val="both"/>
        <w:rPr>
          <w:i/>
          <w:color w:val="000000" w:themeColor="text1"/>
          <w:lang w:val="es-ES_tradnl"/>
        </w:rPr>
      </w:pPr>
    </w:p>
    <w:p w:rsidR="00CB3E74" w:rsidRPr="00177FED" w:rsidRDefault="00CB3E74" w:rsidP="00E83B52">
      <w:pPr>
        <w:pStyle w:val="Textoindependiente3"/>
        <w:rPr>
          <w:rFonts w:ascii="Times New Roman" w:hAnsi="Times New Roman"/>
          <w:i/>
          <w:sz w:val="24"/>
          <w:szCs w:val="24"/>
        </w:rPr>
      </w:pPr>
    </w:p>
    <w:p w:rsidR="00CB3E74" w:rsidRPr="00177FED" w:rsidRDefault="00CB3E74" w:rsidP="00CB3E74">
      <w:pPr>
        <w:pStyle w:val="Textoindependiente3"/>
        <w:ind w:firstLine="1985"/>
        <w:rPr>
          <w:rFonts w:ascii="Times New Roman" w:hAnsi="Times New Roman"/>
          <w:i/>
          <w:sz w:val="24"/>
          <w:szCs w:val="24"/>
        </w:rPr>
      </w:pPr>
      <w:r w:rsidRPr="00D53059">
        <w:rPr>
          <w:rFonts w:ascii="Times New Roman" w:hAnsi="Times New Roman"/>
          <w:i/>
          <w:sz w:val="24"/>
          <w:szCs w:val="24"/>
        </w:rPr>
        <w:t>Tras cerrar el primer semestre con un tipo d</w:t>
      </w:r>
      <w:r w:rsidR="006C0889">
        <w:rPr>
          <w:rFonts w:ascii="Times New Roman" w:hAnsi="Times New Roman"/>
          <w:i/>
          <w:sz w:val="24"/>
          <w:szCs w:val="24"/>
        </w:rPr>
        <w:t>e cambio promedio de (</w:t>
      </w:r>
      <w:r w:rsidR="00855A64">
        <w:rPr>
          <w:rFonts w:ascii="Times New Roman" w:hAnsi="Times New Roman"/>
          <w:i/>
          <w:sz w:val="24"/>
          <w:szCs w:val="24"/>
        </w:rPr>
        <w:t>₲</w:t>
      </w:r>
      <w:r w:rsidR="006C0889">
        <w:rPr>
          <w:rFonts w:ascii="Times New Roman" w:hAnsi="Times New Roman"/>
          <w:i/>
          <w:sz w:val="24"/>
          <w:szCs w:val="24"/>
        </w:rPr>
        <w:t>/US$. 5</w:t>
      </w:r>
      <w:r w:rsidRPr="00D53059">
        <w:rPr>
          <w:rFonts w:ascii="Times New Roman" w:hAnsi="Times New Roman"/>
          <w:i/>
          <w:sz w:val="24"/>
          <w:szCs w:val="24"/>
        </w:rPr>
        <w:t xml:space="preserve">703), se ha dado una depreciación del guaraní frente al dólar del 16% con respecto al primer semestre del 2015. En éste sentido se espera que se mantenga esta tendencia de depreciación de la moneda en lo que resta del año, considerando la coyuntura externa, </w:t>
      </w:r>
      <w:r w:rsidR="00316875">
        <w:rPr>
          <w:rFonts w:ascii="Times New Roman" w:hAnsi="Times New Roman"/>
          <w:i/>
          <w:sz w:val="24"/>
          <w:szCs w:val="24"/>
        </w:rPr>
        <w:t>con bajos</w:t>
      </w:r>
      <w:r w:rsidRPr="00D53059">
        <w:rPr>
          <w:rFonts w:ascii="Times New Roman" w:hAnsi="Times New Roman"/>
          <w:i/>
          <w:sz w:val="24"/>
          <w:szCs w:val="24"/>
        </w:rPr>
        <w:t xml:space="preserve"> términos de intercambio y fortalecimiento global del dólar.</w:t>
      </w:r>
    </w:p>
    <w:p w:rsidR="00CB3E74" w:rsidRPr="00177FED" w:rsidRDefault="00CB3E74" w:rsidP="00897F15">
      <w:pPr>
        <w:pStyle w:val="Textoindependiente3"/>
        <w:rPr>
          <w:rFonts w:ascii="Times New Roman" w:hAnsi="Times New Roman"/>
          <w:i/>
          <w:sz w:val="24"/>
          <w:szCs w:val="24"/>
        </w:rPr>
      </w:pPr>
    </w:p>
    <w:p w:rsidR="00CB3E74" w:rsidRPr="00177FED" w:rsidRDefault="00316875" w:rsidP="00CB3E74">
      <w:pPr>
        <w:pStyle w:val="Textoindependiente3"/>
        <w:ind w:firstLine="1985"/>
        <w:rPr>
          <w:rFonts w:ascii="Times New Roman" w:hAnsi="Times New Roman"/>
          <w:i/>
          <w:sz w:val="24"/>
          <w:szCs w:val="24"/>
        </w:rPr>
      </w:pPr>
      <w:r>
        <w:rPr>
          <w:rFonts w:ascii="Times New Roman" w:hAnsi="Times New Roman"/>
          <w:i/>
          <w:sz w:val="24"/>
          <w:szCs w:val="24"/>
        </w:rPr>
        <w:t>El contexto internacional se presenta todavía desafiante, con bajos precios internacionales y baja demanda de los principales socios comerciales del Paraguay. La reciente revisión de proyecciones de la economía mundial del Fondo Monetario Internacional al mes de julio indica una revisión a la baja y mayor estancamiento del crecimiento de las economías avanzadas, así como una leve mejor perspectiva para el crecimiento de las economías emergentes. Esto significa que el contexto internacional no será favorable para el crecimiento económico nacional.</w:t>
      </w:r>
    </w:p>
    <w:p w:rsidR="00B930E2" w:rsidRDefault="00B930E2" w:rsidP="00897F15">
      <w:pPr>
        <w:pStyle w:val="Textoindependiente3"/>
        <w:rPr>
          <w:rFonts w:ascii="Times New Roman" w:hAnsi="Times New Roman"/>
          <w:i/>
          <w:color w:val="000000"/>
          <w:sz w:val="24"/>
          <w:szCs w:val="24"/>
        </w:rPr>
      </w:pPr>
    </w:p>
    <w:p w:rsidR="00AB750B" w:rsidRPr="00177FED" w:rsidRDefault="00AB750B" w:rsidP="00AB750B">
      <w:pPr>
        <w:suppressAutoHyphens/>
        <w:jc w:val="center"/>
        <w:rPr>
          <w:b/>
          <w:i/>
          <w:color w:val="auto"/>
        </w:rPr>
      </w:pPr>
      <w:r w:rsidRPr="00177FED">
        <w:rPr>
          <w:b/>
          <w:i/>
          <w:color w:val="auto"/>
        </w:rPr>
        <w:t>Escenario Fiscal</w:t>
      </w:r>
      <w:r w:rsidR="00F71D75">
        <w:rPr>
          <w:b/>
          <w:i/>
          <w:color w:val="auto"/>
        </w:rPr>
        <w:t xml:space="preserve"> -</w:t>
      </w:r>
      <w:r w:rsidRPr="00177FED">
        <w:rPr>
          <w:b/>
          <w:i/>
          <w:color w:val="auto"/>
        </w:rPr>
        <w:t xml:space="preserve"> </w:t>
      </w:r>
      <w:r w:rsidR="00F71D75">
        <w:rPr>
          <w:b/>
          <w:i/>
          <w:color w:val="auto"/>
        </w:rPr>
        <w:t>P</w:t>
      </w:r>
      <w:r w:rsidRPr="00177FED">
        <w:rPr>
          <w:b/>
          <w:i/>
          <w:color w:val="auto"/>
        </w:rPr>
        <w:t>rincipales resultados al primer semestre 201</w:t>
      </w:r>
      <w:r w:rsidR="00E30AA7">
        <w:rPr>
          <w:b/>
          <w:i/>
          <w:color w:val="auto"/>
        </w:rPr>
        <w:t>6</w:t>
      </w:r>
    </w:p>
    <w:p w:rsidR="00AB750B" w:rsidRPr="00177FED" w:rsidRDefault="00AB750B" w:rsidP="00AB750B">
      <w:pPr>
        <w:suppressAutoHyphens/>
        <w:jc w:val="both"/>
        <w:rPr>
          <w:i/>
          <w:color w:val="auto"/>
          <w:highlight w:val="lightGray"/>
          <w:lang w:val="es-PY"/>
        </w:rPr>
      </w:pPr>
    </w:p>
    <w:p w:rsidR="00B27005" w:rsidRDefault="00AB750B" w:rsidP="00B27005">
      <w:pPr>
        <w:suppressAutoHyphens/>
        <w:ind w:firstLine="1985"/>
        <w:jc w:val="both"/>
        <w:rPr>
          <w:i/>
          <w:color w:val="auto"/>
          <w:lang w:val="es-PY"/>
        </w:rPr>
      </w:pPr>
      <w:r w:rsidRPr="00177FED">
        <w:rPr>
          <w:i/>
          <w:color w:val="auto"/>
          <w:lang w:val="es-PY"/>
        </w:rPr>
        <w:t xml:space="preserve">El resultado fiscal </w:t>
      </w:r>
      <w:r w:rsidR="00B930E2">
        <w:rPr>
          <w:i/>
          <w:color w:val="auto"/>
          <w:lang w:val="es-PY"/>
        </w:rPr>
        <w:t xml:space="preserve">de la Administración Central </w:t>
      </w:r>
      <w:r w:rsidRPr="00177FED">
        <w:rPr>
          <w:i/>
          <w:color w:val="auto"/>
          <w:lang w:val="es-PY"/>
        </w:rPr>
        <w:t>registró un déficit del 1,</w:t>
      </w:r>
      <w:r w:rsidR="00065E97">
        <w:rPr>
          <w:i/>
          <w:color w:val="auto"/>
          <w:lang w:val="es-PY"/>
        </w:rPr>
        <w:t>7</w:t>
      </w:r>
      <w:r w:rsidRPr="00177FED">
        <w:rPr>
          <w:i/>
          <w:color w:val="auto"/>
          <w:lang w:val="es-PY"/>
        </w:rPr>
        <w:t>% del PIB</w:t>
      </w:r>
      <w:r w:rsidR="00B930E2">
        <w:rPr>
          <w:i/>
          <w:color w:val="auto"/>
          <w:lang w:val="es-PY"/>
        </w:rPr>
        <w:t xml:space="preserve"> en el </w:t>
      </w:r>
      <w:r w:rsidR="00B47339">
        <w:rPr>
          <w:i/>
          <w:color w:val="auto"/>
          <w:lang w:val="es-PY"/>
        </w:rPr>
        <w:t>2015</w:t>
      </w:r>
      <w:r w:rsidRPr="00177FED">
        <w:rPr>
          <w:i/>
          <w:color w:val="auto"/>
          <w:lang w:val="es-PY"/>
        </w:rPr>
        <w:t xml:space="preserve">. El déficit fiscal esta explicado </w:t>
      </w:r>
      <w:r w:rsidR="00F2658D">
        <w:rPr>
          <w:i/>
          <w:color w:val="auto"/>
          <w:lang w:val="es-PY"/>
        </w:rPr>
        <w:t>por</w:t>
      </w:r>
      <w:r w:rsidR="00F2658D" w:rsidRPr="00177FED">
        <w:rPr>
          <w:i/>
          <w:color w:val="auto"/>
          <w:lang w:val="es-PY"/>
        </w:rPr>
        <w:t xml:space="preserve"> </w:t>
      </w:r>
      <w:r w:rsidR="00F2658D">
        <w:rPr>
          <w:i/>
          <w:color w:val="auto"/>
          <w:lang w:val="es-PY"/>
        </w:rPr>
        <w:t>un menor crecimiento de la recaudación tributaria en relación a lo previsto inicialmente, con un crecimiento nominal de apenas 3,4%, lo cual se explica por la desaceleración económica del segundo semestre. A</w:t>
      </w:r>
      <w:r w:rsidR="00871F45">
        <w:rPr>
          <w:i/>
          <w:color w:val="auto"/>
          <w:lang w:val="es-PY"/>
        </w:rPr>
        <w:t>demás</w:t>
      </w:r>
      <w:r w:rsidR="00F2658D">
        <w:rPr>
          <w:i/>
          <w:color w:val="auto"/>
          <w:lang w:val="es-PY"/>
        </w:rPr>
        <w:t xml:space="preserve">, fue determinante </w:t>
      </w:r>
      <w:r w:rsidR="00B40676">
        <w:rPr>
          <w:i/>
          <w:color w:val="auto"/>
          <w:lang w:val="es-PY"/>
        </w:rPr>
        <w:t>la no transferencia por parte de la Entidad Binacional Yacyreta de US</w:t>
      </w:r>
      <w:r w:rsidR="00111E9F">
        <w:rPr>
          <w:i/>
          <w:color w:val="auto"/>
          <w:lang w:val="es-PY"/>
        </w:rPr>
        <w:t>$</w:t>
      </w:r>
      <w:r w:rsidR="00B40676">
        <w:rPr>
          <w:i/>
          <w:color w:val="auto"/>
          <w:lang w:val="es-PY"/>
        </w:rPr>
        <w:t xml:space="preserve"> 30 millones y US</w:t>
      </w:r>
      <w:r w:rsidR="00111E9F">
        <w:rPr>
          <w:i/>
          <w:color w:val="auto"/>
          <w:lang w:val="es-PY"/>
        </w:rPr>
        <w:t>$</w:t>
      </w:r>
      <w:r w:rsidR="00B40676">
        <w:rPr>
          <w:i/>
          <w:color w:val="auto"/>
          <w:lang w:val="es-PY"/>
        </w:rPr>
        <w:t xml:space="preserve"> 60 millones </w:t>
      </w:r>
      <w:r w:rsidR="00111E9F">
        <w:rPr>
          <w:i/>
          <w:color w:val="auto"/>
          <w:lang w:val="es-PY"/>
        </w:rPr>
        <w:t xml:space="preserve">(del total de US$ 90 millones) </w:t>
      </w:r>
      <w:r w:rsidR="00F2658D">
        <w:rPr>
          <w:i/>
          <w:color w:val="auto"/>
          <w:lang w:val="es-PY"/>
        </w:rPr>
        <w:t>por</w:t>
      </w:r>
      <w:r w:rsidR="00B40676">
        <w:rPr>
          <w:i/>
          <w:color w:val="auto"/>
          <w:lang w:val="es-PY"/>
        </w:rPr>
        <w:t xml:space="preserve"> la Licitación 4G, totalizando ambos 0,</w:t>
      </w:r>
      <w:r w:rsidR="00B32696">
        <w:rPr>
          <w:i/>
          <w:color w:val="auto"/>
          <w:lang w:val="es-PY"/>
        </w:rPr>
        <w:t>4</w:t>
      </w:r>
      <w:r w:rsidR="00B40676">
        <w:rPr>
          <w:i/>
          <w:color w:val="auto"/>
          <w:lang w:val="es-PY"/>
        </w:rPr>
        <w:t xml:space="preserve">% del PIB, </w:t>
      </w:r>
      <w:r w:rsidR="00F2658D">
        <w:rPr>
          <w:i/>
          <w:color w:val="auto"/>
          <w:lang w:val="es-PY"/>
        </w:rPr>
        <w:t>que de haberse materializado podrían haber resultado en un déficit</w:t>
      </w:r>
      <w:r w:rsidR="00B40676">
        <w:rPr>
          <w:i/>
          <w:color w:val="auto"/>
          <w:lang w:val="es-PY"/>
        </w:rPr>
        <w:t xml:space="preserve"> por debajo del 1,5%</w:t>
      </w:r>
      <w:r w:rsidR="006168C9">
        <w:rPr>
          <w:i/>
          <w:color w:val="auto"/>
          <w:lang w:val="es-PY"/>
        </w:rPr>
        <w:t>.</w:t>
      </w:r>
    </w:p>
    <w:p w:rsidR="00B27005" w:rsidRDefault="00B27005" w:rsidP="00BE1E06">
      <w:pPr>
        <w:suppressAutoHyphens/>
        <w:jc w:val="both"/>
        <w:rPr>
          <w:i/>
          <w:color w:val="auto"/>
          <w:lang w:val="es-PY"/>
        </w:rPr>
      </w:pPr>
    </w:p>
    <w:p w:rsidR="00AB750B" w:rsidRPr="00177FED" w:rsidRDefault="00F2658D" w:rsidP="00AB750B">
      <w:pPr>
        <w:suppressAutoHyphens/>
        <w:ind w:firstLine="1985"/>
        <w:jc w:val="both"/>
        <w:rPr>
          <w:i/>
          <w:color w:val="auto"/>
          <w:lang w:val="es-PY"/>
        </w:rPr>
      </w:pPr>
      <w:r>
        <w:rPr>
          <w:i/>
          <w:color w:val="auto"/>
          <w:lang w:val="es-PY"/>
        </w:rPr>
        <w:t>Los ingresos totales presentaron un crecimiento del 7,6%, mientras que los i</w:t>
      </w:r>
      <w:r w:rsidR="00AB750B" w:rsidRPr="00177FED">
        <w:rPr>
          <w:i/>
          <w:color w:val="auto"/>
          <w:lang w:val="es-PY"/>
        </w:rPr>
        <w:t xml:space="preserve">ngresos </w:t>
      </w:r>
      <w:r>
        <w:rPr>
          <w:i/>
          <w:color w:val="auto"/>
          <w:lang w:val="es-PY"/>
        </w:rPr>
        <w:t>n</w:t>
      </w:r>
      <w:r w:rsidRPr="00177FED">
        <w:rPr>
          <w:i/>
          <w:color w:val="auto"/>
          <w:lang w:val="es-PY"/>
        </w:rPr>
        <w:t xml:space="preserve">o </w:t>
      </w:r>
      <w:r>
        <w:rPr>
          <w:i/>
          <w:color w:val="auto"/>
          <w:lang w:val="es-PY"/>
        </w:rPr>
        <w:t>t</w:t>
      </w:r>
      <w:r w:rsidRPr="00177FED">
        <w:rPr>
          <w:i/>
          <w:color w:val="auto"/>
          <w:lang w:val="es-PY"/>
        </w:rPr>
        <w:t xml:space="preserve">ributarios </w:t>
      </w:r>
      <w:r w:rsidR="00AB750B" w:rsidRPr="00177FED">
        <w:rPr>
          <w:i/>
          <w:color w:val="auto"/>
          <w:lang w:val="es-PY"/>
        </w:rPr>
        <w:t xml:space="preserve">arrojaron un incremento del </w:t>
      </w:r>
      <w:r w:rsidR="00F334B9">
        <w:rPr>
          <w:i/>
          <w:color w:val="auto"/>
          <w:lang w:val="es-PY"/>
        </w:rPr>
        <w:t>17</w:t>
      </w:r>
      <w:r w:rsidR="00AB750B" w:rsidRPr="00177FED">
        <w:rPr>
          <w:i/>
          <w:color w:val="auto"/>
          <w:lang w:val="es-PY"/>
        </w:rPr>
        <w:t>,</w:t>
      </w:r>
      <w:r w:rsidR="00F334B9">
        <w:rPr>
          <w:i/>
          <w:color w:val="auto"/>
          <w:lang w:val="es-PY"/>
        </w:rPr>
        <w:t>6</w:t>
      </w:r>
      <w:r w:rsidR="00AB750B" w:rsidRPr="00177FED">
        <w:rPr>
          <w:i/>
          <w:color w:val="auto"/>
          <w:lang w:val="es-PY"/>
        </w:rPr>
        <w:t xml:space="preserve">%, </w:t>
      </w:r>
      <w:r w:rsidR="002237FB">
        <w:rPr>
          <w:i/>
          <w:color w:val="auto"/>
          <w:lang w:val="es-PY"/>
        </w:rPr>
        <w:t xml:space="preserve">explicado por el incremento del 33,6% de los </w:t>
      </w:r>
      <w:r w:rsidR="00AB750B" w:rsidRPr="00177FED">
        <w:rPr>
          <w:i/>
          <w:color w:val="auto"/>
          <w:lang w:val="es-PY"/>
        </w:rPr>
        <w:t>ingresos provenientes de la</w:t>
      </w:r>
      <w:r w:rsidR="002237FB">
        <w:rPr>
          <w:i/>
          <w:color w:val="auto"/>
          <w:lang w:val="es-PY"/>
        </w:rPr>
        <w:t>s</w:t>
      </w:r>
      <w:r w:rsidR="00AB750B" w:rsidRPr="00177FED">
        <w:rPr>
          <w:i/>
          <w:color w:val="auto"/>
          <w:lang w:val="es-PY"/>
        </w:rPr>
        <w:t xml:space="preserve"> Entidad</w:t>
      </w:r>
      <w:r w:rsidR="002237FB">
        <w:rPr>
          <w:i/>
          <w:color w:val="auto"/>
          <w:lang w:val="es-PY"/>
        </w:rPr>
        <w:t>es</w:t>
      </w:r>
      <w:r w:rsidR="00AB750B" w:rsidRPr="00177FED">
        <w:rPr>
          <w:i/>
          <w:color w:val="auto"/>
          <w:lang w:val="es-PY"/>
        </w:rPr>
        <w:t xml:space="preserve"> Binacional</w:t>
      </w:r>
      <w:r w:rsidR="002237FB">
        <w:rPr>
          <w:i/>
          <w:color w:val="auto"/>
          <w:lang w:val="es-PY"/>
        </w:rPr>
        <w:t xml:space="preserve">es y </w:t>
      </w:r>
      <w:r w:rsidR="00257F55">
        <w:rPr>
          <w:i/>
          <w:color w:val="auto"/>
          <w:lang w:val="es-PY"/>
        </w:rPr>
        <w:t xml:space="preserve">la </w:t>
      </w:r>
      <w:r w:rsidR="009A01D1">
        <w:rPr>
          <w:i/>
          <w:color w:val="auto"/>
          <w:lang w:val="es-PY"/>
        </w:rPr>
        <w:t>Licitación de la Línea 4G (US</w:t>
      </w:r>
      <w:r w:rsidR="00855A64">
        <w:rPr>
          <w:i/>
          <w:color w:val="auto"/>
          <w:lang w:val="es-PY"/>
        </w:rPr>
        <w:t>$</w:t>
      </w:r>
      <w:r w:rsidR="009A01D1">
        <w:rPr>
          <w:i/>
          <w:color w:val="auto"/>
          <w:lang w:val="es-PY"/>
        </w:rPr>
        <w:t xml:space="preserve"> </w:t>
      </w:r>
      <w:r w:rsidR="00257F55">
        <w:rPr>
          <w:i/>
          <w:color w:val="auto"/>
          <w:lang w:val="es-PY"/>
        </w:rPr>
        <w:t>3</w:t>
      </w:r>
      <w:r w:rsidR="009A01D1">
        <w:rPr>
          <w:i/>
          <w:color w:val="auto"/>
          <w:lang w:val="es-PY"/>
        </w:rPr>
        <w:t>0 millones)</w:t>
      </w:r>
      <w:r w:rsidR="00AB750B" w:rsidRPr="00177FED">
        <w:rPr>
          <w:i/>
          <w:color w:val="auto"/>
          <w:lang w:val="es-PY"/>
        </w:rPr>
        <w:t>.</w:t>
      </w:r>
    </w:p>
    <w:p w:rsidR="00BE1E06" w:rsidRDefault="00BE1E06">
      <w:pPr>
        <w:spacing w:after="200" w:line="276" w:lineRule="auto"/>
        <w:rPr>
          <w:i/>
          <w:color w:val="auto"/>
          <w:highlight w:val="lightGray"/>
          <w:lang w:val="es-PY"/>
        </w:rPr>
      </w:pPr>
      <w:r>
        <w:rPr>
          <w:i/>
          <w:color w:val="auto"/>
          <w:highlight w:val="lightGray"/>
          <w:lang w:val="es-PY"/>
        </w:rPr>
        <w:br w:type="page"/>
      </w:r>
    </w:p>
    <w:p w:rsidR="00BE1E06" w:rsidRPr="00484D7D" w:rsidRDefault="00BE1E06" w:rsidP="00BE1E06">
      <w:pPr>
        <w:jc w:val="center"/>
        <w:rPr>
          <w:i/>
          <w:color w:val="000000" w:themeColor="text1"/>
          <w:lang w:val="es-ES_tradnl"/>
        </w:rPr>
      </w:pPr>
      <w:r>
        <w:rPr>
          <w:i/>
          <w:color w:val="000000" w:themeColor="text1"/>
          <w:lang w:val="es-ES_tradnl"/>
        </w:rPr>
        <w:lastRenderedPageBreak/>
        <w:t>-7-</w:t>
      </w:r>
    </w:p>
    <w:p w:rsidR="00BE1E06" w:rsidRDefault="00BE1E06" w:rsidP="00BE1E06">
      <w:pPr>
        <w:jc w:val="both"/>
        <w:rPr>
          <w:i/>
          <w:color w:val="000000" w:themeColor="text1"/>
          <w:lang w:val="es-ES_tradnl"/>
        </w:rPr>
      </w:pPr>
    </w:p>
    <w:p w:rsidR="00BE1E06" w:rsidRPr="00484D7D" w:rsidRDefault="00BE1E06" w:rsidP="00BE1E06">
      <w:pPr>
        <w:jc w:val="both"/>
        <w:rPr>
          <w:i/>
          <w:color w:val="000000" w:themeColor="text1"/>
          <w:lang w:val="es-ES_tradnl"/>
        </w:rPr>
      </w:pPr>
    </w:p>
    <w:p w:rsidR="00BE1E06" w:rsidRPr="00484D7D" w:rsidRDefault="00BE1E06" w:rsidP="00BE1E06">
      <w:pPr>
        <w:jc w:val="both"/>
        <w:rPr>
          <w:i/>
          <w:color w:val="000000" w:themeColor="text1"/>
          <w:lang w:val="es-ES_tradnl"/>
        </w:rPr>
      </w:pPr>
    </w:p>
    <w:p w:rsidR="00BE1E06" w:rsidRPr="00484D7D" w:rsidRDefault="00BE1E06" w:rsidP="00BE1E06">
      <w:pPr>
        <w:jc w:val="both"/>
        <w:rPr>
          <w:i/>
          <w:color w:val="000000" w:themeColor="text1"/>
          <w:lang w:val="es-ES_tradnl"/>
        </w:rPr>
      </w:pPr>
      <w:r w:rsidRPr="00484D7D">
        <w:rPr>
          <w:i/>
          <w:color w:val="000000" w:themeColor="text1"/>
          <w:lang w:val="es-ES_tradnl"/>
        </w:rPr>
        <w:t>N°________</w:t>
      </w:r>
    </w:p>
    <w:p w:rsidR="00BE1E06" w:rsidRPr="00484D7D" w:rsidRDefault="00BE1E06" w:rsidP="00BE1E06">
      <w:pPr>
        <w:jc w:val="both"/>
        <w:rPr>
          <w:i/>
          <w:color w:val="000000" w:themeColor="text1"/>
          <w:lang w:val="es-ES_tradnl"/>
        </w:rPr>
      </w:pPr>
    </w:p>
    <w:p w:rsidR="00BE1E06" w:rsidRPr="00484D7D" w:rsidRDefault="00BE1E06" w:rsidP="00BE1E06">
      <w:pPr>
        <w:jc w:val="both"/>
        <w:rPr>
          <w:i/>
          <w:color w:val="000000" w:themeColor="text1"/>
          <w:lang w:val="es-ES_tradnl"/>
        </w:rPr>
      </w:pPr>
    </w:p>
    <w:p w:rsidR="00AB750B" w:rsidRPr="00177FED" w:rsidRDefault="00AB750B" w:rsidP="00AB750B">
      <w:pPr>
        <w:suppressAutoHyphens/>
        <w:ind w:firstLine="1985"/>
        <w:jc w:val="both"/>
        <w:rPr>
          <w:i/>
          <w:color w:val="auto"/>
          <w:lang w:val="es-PY"/>
        </w:rPr>
      </w:pPr>
      <w:r w:rsidRPr="00177FED">
        <w:rPr>
          <w:i/>
          <w:color w:val="auto"/>
          <w:lang w:val="es-PY"/>
        </w:rPr>
        <w:t xml:space="preserve">En el primer semestre del año </w:t>
      </w:r>
      <w:r w:rsidR="00267BB5" w:rsidRPr="00177FED">
        <w:rPr>
          <w:i/>
          <w:color w:val="auto"/>
          <w:lang w:val="es-PY"/>
        </w:rPr>
        <w:t>201</w:t>
      </w:r>
      <w:r w:rsidR="00267BB5">
        <w:rPr>
          <w:i/>
          <w:color w:val="auto"/>
          <w:lang w:val="es-PY"/>
        </w:rPr>
        <w:t>6</w:t>
      </w:r>
      <w:r w:rsidRPr="00177FED">
        <w:rPr>
          <w:i/>
          <w:color w:val="auto"/>
          <w:lang w:val="es-PY"/>
        </w:rPr>
        <w:t xml:space="preserve">, los ingresos tributarios han mostrado un </w:t>
      </w:r>
      <w:r w:rsidR="001C6FE5">
        <w:rPr>
          <w:i/>
          <w:color w:val="auto"/>
          <w:lang w:val="es-PY"/>
        </w:rPr>
        <w:t>incremento</w:t>
      </w:r>
      <w:r w:rsidRPr="00177FED">
        <w:rPr>
          <w:i/>
          <w:color w:val="auto"/>
          <w:lang w:val="es-PY"/>
        </w:rPr>
        <w:t xml:space="preserve"> </w:t>
      </w:r>
      <w:r w:rsidR="001C6FE5" w:rsidRPr="00177FED">
        <w:rPr>
          <w:i/>
          <w:color w:val="auto"/>
          <w:lang w:val="es-PY"/>
        </w:rPr>
        <w:t>del 6,</w:t>
      </w:r>
      <w:r w:rsidR="00267BB5">
        <w:rPr>
          <w:i/>
          <w:color w:val="auto"/>
          <w:lang w:val="es-PY"/>
        </w:rPr>
        <w:t>1</w:t>
      </w:r>
      <w:r w:rsidR="001C6FE5" w:rsidRPr="00177FED">
        <w:rPr>
          <w:i/>
          <w:color w:val="auto"/>
          <w:lang w:val="es-PY"/>
        </w:rPr>
        <w:t>%</w:t>
      </w:r>
      <w:r w:rsidR="001C6FE5">
        <w:rPr>
          <w:i/>
          <w:color w:val="auto"/>
          <w:lang w:val="es-PY"/>
        </w:rPr>
        <w:t xml:space="preserve"> </w:t>
      </w:r>
      <w:r w:rsidRPr="00177FED">
        <w:rPr>
          <w:i/>
          <w:color w:val="auto"/>
          <w:lang w:val="es-PY"/>
        </w:rPr>
        <w:t xml:space="preserve">con respecto al primer semestre del año </w:t>
      </w:r>
      <w:r w:rsidR="00267BB5" w:rsidRPr="00177FED">
        <w:rPr>
          <w:i/>
          <w:color w:val="auto"/>
          <w:lang w:val="es-PY"/>
        </w:rPr>
        <w:t>201</w:t>
      </w:r>
      <w:r w:rsidR="00267BB5">
        <w:rPr>
          <w:i/>
          <w:color w:val="auto"/>
          <w:lang w:val="es-PY"/>
        </w:rPr>
        <w:t>5</w:t>
      </w:r>
      <w:r w:rsidR="001C6FE5">
        <w:rPr>
          <w:i/>
          <w:color w:val="auto"/>
          <w:lang w:val="es-PY"/>
        </w:rPr>
        <w:t>.</w:t>
      </w:r>
    </w:p>
    <w:p w:rsidR="00AB750B" w:rsidRPr="00E21985" w:rsidRDefault="00AB750B" w:rsidP="00AB750B">
      <w:pPr>
        <w:suppressAutoHyphens/>
        <w:jc w:val="both"/>
        <w:rPr>
          <w:i/>
          <w:color w:val="auto"/>
          <w:sz w:val="16"/>
          <w:szCs w:val="16"/>
          <w:highlight w:val="lightGray"/>
          <w:lang w:val="es-PY"/>
        </w:rPr>
      </w:pPr>
    </w:p>
    <w:p w:rsidR="00AB750B" w:rsidRDefault="00AB750B" w:rsidP="006B1D9C">
      <w:pPr>
        <w:suppressAutoHyphens/>
        <w:jc w:val="both"/>
        <w:rPr>
          <w:i/>
          <w:color w:val="auto"/>
          <w:highlight w:val="lightGray"/>
          <w:lang w:val="es-PY"/>
        </w:rPr>
      </w:pPr>
      <w:r w:rsidRPr="00177FED">
        <w:rPr>
          <w:i/>
          <w:color w:val="auto"/>
          <w:lang w:val="es-PY"/>
        </w:rPr>
        <w:tab/>
      </w:r>
      <w:r w:rsidRPr="00177FED">
        <w:rPr>
          <w:i/>
          <w:color w:val="auto"/>
          <w:lang w:val="es-PY"/>
        </w:rPr>
        <w:tab/>
      </w:r>
      <w:r w:rsidRPr="00177FED">
        <w:rPr>
          <w:i/>
          <w:color w:val="auto"/>
          <w:lang w:val="es-PY"/>
        </w:rPr>
        <w:tab/>
        <w:t>Este dinamismo de los ingresos tributarios en el primer semestre</w:t>
      </w:r>
      <w:r w:rsidR="00114DA6">
        <w:rPr>
          <w:i/>
          <w:color w:val="auto"/>
          <w:lang w:val="es-PY"/>
        </w:rPr>
        <w:t>, inferior a lo estimado inicialmente para el presente ejercicio,</w:t>
      </w:r>
      <w:r w:rsidRPr="00177FED">
        <w:rPr>
          <w:i/>
          <w:color w:val="auto"/>
          <w:lang w:val="es-PY"/>
        </w:rPr>
        <w:t xml:space="preserve"> se explica </w:t>
      </w:r>
      <w:r w:rsidR="006B1D9C">
        <w:rPr>
          <w:i/>
          <w:color w:val="auto"/>
          <w:lang w:val="es-PY"/>
        </w:rPr>
        <w:t xml:space="preserve">principalmente por la </w:t>
      </w:r>
      <w:r w:rsidR="00D123DE">
        <w:rPr>
          <w:i/>
          <w:color w:val="auto"/>
          <w:lang w:val="es-PY"/>
        </w:rPr>
        <w:t>desaceleración</w:t>
      </w:r>
      <w:r w:rsidR="006B1D9C">
        <w:rPr>
          <w:i/>
          <w:color w:val="auto"/>
          <w:lang w:val="es-PY"/>
        </w:rPr>
        <w:t xml:space="preserve"> de la economía</w:t>
      </w:r>
      <w:r w:rsidR="00A53C3F">
        <w:rPr>
          <w:i/>
          <w:color w:val="auto"/>
          <w:lang w:val="es-PY"/>
        </w:rPr>
        <w:t>,</w:t>
      </w:r>
      <w:r w:rsidR="006B1D9C">
        <w:rPr>
          <w:i/>
          <w:color w:val="auto"/>
          <w:lang w:val="es-PY"/>
        </w:rPr>
        <w:t xml:space="preserve"> además de la </w:t>
      </w:r>
      <w:r w:rsidR="00A35590">
        <w:rPr>
          <w:i/>
          <w:color w:val="auto"/>
          <w:lang w:val="es-PY"/>
        </w:rPr>
        <w:t>caída de las importaciones que a</w:t>
      </w:r>
      <w:r w:rsidR="008056DD">
        <w:rPr>
          <w:i/>
          <w:color w:val="auto"/>
          <w:lang w:val="es-PY"/>
        </w:rPr>
        <w:t xml:space="preserve">l primer semestre </w:t>
      </w:r>
      <w:r w:rsidR="00A35590">
        <w:rPr>
          <w:i/>
          <w:color w:val="auto"/>
          <w:lang w:val="es-PY"/>
        </w:rPr>
        <w:t>presenta</w:t>
      </w:r>
      <w:r w:rsidR="008056DD">
        <w:rPr>
          <w:i/>
          <w:color w:val="auto"/>
          <w:lang w:val="es-PY"/>
        </w:rPr>
        <w:t>ro</w:t>
      </w:r>
      <w:r w:rsidR="00A35590">
        <w:rPr>
          <w:i/>
          <w:color w:val="auto"/>
          <w:lang w:val="es-PY"/>
        </w:rPr>
        <w:t xml:space="preserve">n una reducción del </w:t>
      </w:r>
      <w:r w:rsidR="00C756D6">
        <w:rPr>
          <w:i/>
          <w:color w:val="auto"/>
          <w:lang w:val="es-PY"/>
        </w:rPr>
        <w:t>18</w:t>
      </w:r>
      <w:r w:rsidR="00A35590">
        <w:rPr>
          <w:i/>
          <w:color w:val="auto"/>
          <w:lang w:val="es-PY"/>
        </w:rPr>
        <w:t>%</w:t>
      </w:r>
      <w:r w:rsidRPr="00177FED">
        <w:rPr>
          <w:i/>
          <w:color w:val="auto"/>
          <w:lang w:val="es-PY"/>
        </w:rPr>
        <w:t>.</w:t>
      </w:r>
      <w:r w:rsidR="00CB3E74">
        <w:rPr>
          <w:i/>
          <w:color w:val="auto"/>
          <w:lang w:val="es-PY"/>
        </w:rPr>
        <w:t xml:space="preserve"> Por tanto, e</w:t>
      </w:r>
      <w:r w:rsidRPr="00177FED">
        <w:rPr>
          <w:i/>
          <w:color w:val="auto"/>
          <w:lang w:val="es-PY"/>
        </w:rPr>
        <w:t>n este contexto, las estimaciones de cierre del ejercicio fiscal 201</w:t>
      </w:r>
      <w:r w:rsidR="00A53C3F">
        <w:rPr>
          <w:i/>
          <w:color w:val="auto"/>
          <w:lang w:val="es-PY"/>
        </w:rPr>
        <w:t>6</w:t>
      </w:r>
      <w:r w:rsidR="00733E32">
        <w:rPr>
          <w:i/>
          <w:color w:val="auto"/>
          <w:lang w:val="es-PY"/>
        </w:rPr>
        <w:t xml:space="preserve"> </w:t>
      </w:r>
      <w:r w:rsidRPr="00177FED">
        <w:rPr>
          <w:i/>
          <w:color w:val="auto"/>
          <w:lang w:val="es-PY"/>
        </w:rPr>
        <w:t xml:space="preserve">para los ingresos tributarios </w:t>
      </w:r>
      <w:r w:rsidR="00962349" w:rsidRPr="00177FED">
        <w:rPr>
          <w:i/>
          <w:color w:val="auto"/>
          <w:lang w:val="es-PY"/>
        </w:rPr>
        <w:t>estarían</w:t>
      </w:r>
      <w:r w:rsidRPr="00177FED">
        <w:rPr>
          <w:i/>
          <w:color w:val="auto"/>
          <w:lang w:val="es-PY"/>
        </w:rPr>
        <w:t xml:space="preserve"> en</w:t>
      </w:r>
      <w:r w:rsidR="008829E1">
        <w:rPr>
          <w:i/>
          <w:color w:val="auto"/>
          <w:lang w:val="es-PY"/>
        </w:rPr>
        <w:t xml:space="preserve"> </w:t>
      </w:r>
      <w:r w:rsidRPr="00177FED">
        <w:rPr>
          <w:i/>
          <w:color w:val="auto"/>
          <w:lang w:val="es-PY"/>
        </w:rPr>
        <w:t xml:space="preserve">torno a un crecimiento del </w:t>
      </w:r>
      <w:r w:rsidR="002266D4">
        <w:rPr>
          <w:i/>
          <w:color w:val="auto"/>
          <w:lang w:val="es-PY"/>
        </w:rPr>
        <w:t>6</w:t>
      </w:r>
      <w:r w:rsidRPr="00177FED">
        <w:rPr>
          <w:i/>
          <w:color w:val="auto"/>
          <w:lang w:val="es-PY"/>
        </w:rPr>
        <w:t>%</w:t>
      </w:r>
      <w:r w:rsidR="00CB3E74">
        <w:rPr>
          <w:i/>
          <w:color w:val="auto"/>
          <w:lang w:val="es-PY"/>
        </w:rPr>
        <w:t>.</w:t>
      </w:r>
    </w:p>
    <w:p w:rsidR="00CB3E74" w:rsidRPr="00E21985" w:rsidRDefault="00CB3E74" w:rsidP="00E21985">
      <w:pPr>
        <w:suppressAutoHyphens/>
        <w:jc w:val="both"/>
        <w:rPr>
          <w:i/>
          <w:color w:val="auto"/>
          <w:sz w:val="16"/>
          <w:szCs w:val="16"/>
          <w:highlight w:val="lightGray"/>
          <w:lang w:val="es-PY"/>
        </w:rPr>
      </w:pPr>
    </w:p>
    <w:p w:rsidR="00AB750B" w:rsidRPr="00177FED" w:rsidRDefault="00AB750B" w:rsidP="00AB750B">
      <w:pPr>
        <w:suppressAutoHyphens/>
        <w:ind w:firstLine="1985"/>
        <w:jc w:val="both"/>
        <w:rPr>
          <w:i/>
          <w:color w:val="auto"/>
        </w:rPr>
      </w:pPr>
      <w:r w:rsidRPr="00177FED">
        <w:rPr>
          <w:i/>
          <w:color w:val="auto"/>
        </w:rPr>
        <w:t xml:space="preserve">En cuanto a la ejecución del gasto de la Administración Central, en el Ejercicio Fiscal </w:t>
      </w:r>
      <w:r w:rsidR="004D550A" w:rsidRPr="00177FED">
        <w:rPr>
          <w:i/>
          <w:color w:val="auto"/>
        </w:rPr>
        <w:t>201</w:t>
      </w:r>
      <w:r w:rsidR="004D550A">
        <w:rPr>
          <w:i/>
          <w:color w:val="auto"/>
        </w:rPr>
        <w:t>5</w:t>
      </w:r>
      <w:r w:rsidR="004D550A" w:rsidRPr="00177FED">
        <w:rPr>
          <w:i/>
          <w:color w:val="auto"/>
        </w:rPr>
        <w:t xml:space="preserve"> </w:t>
      </w:r>
      <w:r w:rsidRPr="00177FED">
        <w:rPr>
          <w:i/>
          <w:color w:val="auto"/>
        </w:rPr>
        <w:t xml:space="preserve">alcanzó la suma de </w:t>
      </w:r>
      <w:r w:rsidR="00855A64">
        <w:rPr>
          <w:i/>
          <w:color w:val="auto"/>
        </w:rPr>
        <w:t>₲</w:t>
      </w:r>
      <w:r w:rsidRPr="00177FED">
        <w:rPr>
          <w:i/>
          <w:color w:val="auto"/>
        </w:rPr>
        <w:t xml:space="preserve"> </w:t>
      </w:r>
      <w:r w:rsidR="004D550A" w:rsidRPr="00177FED">
        <w:rPr>
          <w:i/>
          <w:color w:val="auto"/>
        </w:rPr>
        <w:t>2</w:t>
      </w:r>
      <w:r w:rsidR="004D550A">
        <w:rPr>
          <w:i/>
          <w:color w:val="auto"/>
        </w:rPr>
        <w:t>5</w:t>
      </w:r>
      <w:r w:rsidRPr="00177FED">
        <w:rPr>
          <w:i/>
          <w:color w:val="auto"/>
        </w:rPr>
        <w:t>,</w:t>
      </w:r>
      <w:r w:rsidR="004D550A">
        <w:rPr>
          <w:i/>
          <w:color w:val="auto"/>
        </w:rPr>
        <w:t>3</w:t>
      </w:r>
      <w:r w:rsidR="004D550A" w:rsidRPr="00177FED">
        <w:rPr>
          <w:i/>
          <w:color w:val="auto"/>
        </w:rPr>
        <w:t xml:space="preserve"> </w:t>
      </w:r>
      <w:r w:rsidRPr="00177FED">
        <w:rPr>
          <w:i/>
          <w:color w:val="auto"/>
        </w:rPr>
        <w:t xml:space="preserve">billones, superior en </w:t>
      </w:r>
      <w:r w:rsidR="004D550A" w:rsidRPr="00177FED">
        <w:rPr>
          <w:i/>
          <w:color w:val="auto"/>
        </w:rPr>
        <w:t>1</w:t>
      </w:r>
      <w:r w:rsidR="004D550A">
        <w:rPr>
          <w:i/>
          <w:color w:val="auto"/>
        </w:rPr>
        <w:t>0</w:t>
      </w:r>
      <w:r w:rsidRPr="00177FED">
        <w:rPr>
          <w:i/>
          <w:color w:val="auto"/>
        </w:rPr>
        <w:t>,</w:t>
      </w:r>
      <w:r w:rsidR="004D550A">
        <w:rPr>
          <w:i/>
          <w:color w:val="auto"/>
        </w:rPr>
        <w:t>5</w:t>
      </w:r>
      <w:r w:rsidRPr="00177FED">
        <w:rPr>
          <w:i/>
          <w:color w:val="auto"/>
        </w:rPr>
        <w:t xml:space="preserve">% a la ejecución del </w:t>
      </w:r>
      <w:r w:rsidR="009529FB">
        <w:rPr>
          <w:i/>
          <w:color w:val="auto"/>
        </w:rPr>
        <w:t>e</w:t>
      </w:r>
      <w:r w:rsidRPr="00177FED">
        <w:rPr>
          <w:i/>
          <w:color w:val="auto"/>
        </w:rPr>
        <w:t xml:space="preserve">jercicio </w:t>
      </w:r>
      <w:r w:rsidR="009529FB">
        <w:rPr>
          <w:i/>
          <w:color w:val="auto"/>
        </w:rPr>
        <w:t>f</w:t>
      </w:r>
      <w:r w:rsidRPr="00177FED">
        <w:rPr>
          <w:i/>
          <w:color w:val="auto"/>
        </w:rPr>
        <w:t xml:space="preserve">iscal precedente. En la dinámica del gasto se </w:t>
      </w:r>
      <w:r w:rsidR="00200049">
        <w:rPr>
          <w:i/>
          <w:color w:val="auto"/>
        </w:rPr>
        <w:t xml:space="preserve">pudo </w:t>
      </w:r>
      <w:r w:rsidRPr="00177FED">
        <w:rPr>
          <w:i/>
          <w:color w:val="auto"/>
        </w:rPr>
        <w:t>observa</w:t>
      </w:r>
      <w:r w:rsidR="00200049">
        <w:rPr>
          <w:i/>
          <w:color w:val="auto"/>
        </w:rPr>
        <w:t>r</w:t>
      </w:r>
      <w:r w:rsidRPr="00177FED">
        <w:rPr>
          <w:i/>
          <w:color w:val="auto"/>
        </w:rPr>
        <w:t xml:space="preserve"> un</w:t>
      </w:r>
      <w:r w:rsidR="0030328B">
        <w:rPr>
          <w:i/>
          <w:color w:val="auto"/>
        </w:rPr>
        <w:t xml:space="preserve"> crecimiento en las</w:t>
      </w:r>
      <w:r w:rsidRPr="00177FED">
        <w:rPr>
          <w:i/>
          <w:color w:val="auto"/>
        </w:rPr>
        <w:t xml:space="preserve"> remuneraciones a los empleados </w:t>
      </w:r>
      <w:r w:rsidR="0030328B">
        <w:rPr>
          <w:i/>
          <w:color w:val="auto"/>
        </w:rPr>
        <w:t>del 8,8%</w:t>
      </w:r>
      <w:r w:rsidRPr="00177FED">
        <w:rPr>
          <w:i/>
          <w:color w:val="auto"/>
        </w:rPr>
        <w:t xml:space="preserve">, </w:t>
      </w:r>
      <w:r w:rsidR="0030328B">
        <w:rPr>
          <w:i/>
          <w:color w:val="auto"/>
        </w:rPr>
        <w:t xml:space="preserve">el gasto en bienes y servicios presenta una desaceleración con respecto </w:t>
      </w:r>
      <w:r w:rsidR="00D15CA2">
        <w:rPr>
          <w:i/>
          <w:color w:val="auto"/>
        </w:rPr>
        <w:t>a</w:t>
      </w:r>
      <w:r w:rsidR="0030328B">
        <w:rPr>
          <w:i/>
          <w:color w:val="auto"/>
        </w:rPr>
        <w:t>l 2014 creciendo a una tasa del 10,8%,</w:t>
      </w:r>
      <w:r w:rsidR="00ED1F4E">
        <w:rPr>
          <w:i/>
          <w:color w:val="auto"/>
        </w:rPr>
        <w:t xml:space="preserve"> </w:t>
      </w:r>
      <w:r w:rsidRPr="00177FED">
        <w:rPr>
          <w:i/>
          <w:color w:val="auto"/>
        </w:rPr>
        <w:t xml:space="preserve">el pago de los intereses </w:t>
      </w:r>
      <w:r w:rsidR="007028AB">
        <w:rPr>
          <w:i/>
          <w:color w:val="auto"/>
        </w:rPr>
        <w:t>69</w:t>
      </w:r>
      <w:r w:rsidRPr="00177FED">
        <w:rPr>
          <w:i/>
          <w:color w:val="auto"/>
        </w:rPr>
        <w:t xml:space="preserve">,6%, donaciones (transferencias) </w:t>
      </w:r>
      <w:r w:rsidR="007028AB">
        <w:rPr>
          <w:i/>
          <w:color w:val="auto"/>
        </w:rPr>
        <w:t>3</w:t>
      </w:r>
      <w:r w:rsidRPr="00177FED">
        <w:rPr>
          <w:i/>
          <w:color w:val="auto"/>
        </w:rPr>
        <w:t>,3%, prestaciones sociales (jubilaciones y pensiones)</w:t>
      </w:r>
      <w:r w:rsidR="00141BD1">
        <w:rPr>
          <w:i/>
          <w:color w:val="auto"/>
        </w:rPr>
        <w:t xml:space="preserve"> </w:t>
      </w:r>
      <w:r w:rsidR="007028AB" w:rsidRPr="00177FED">
        <w:rPr>
          <w:i/>
          <w:color w:val="auto"/>
        </w:rPr>
        <w:t>1</w:t>
      </w:r>
      <w:r w:rsidR="007028AB">
        <w:rPr>
          <w:i/>
          <w:color w:val="auto"/>
        </w:rPr>
        <w:t>4</w:t>
      </w:r>
      <w:r w:rsidRPr="00177FED">
        <w:rPr>
          <w:i/>
          <w:color w:val="auto"/>
        </w:rPr>
        <w:t>,7% y otros gastos</w:t>
      </w:r>
      <w:r w:rsidR="00141BD1">
        <w:rPr>
          <w:i/>
          <w:color w:val="auto"/>
        </w:rPr>
        <w:t xml:space="preserve"> </w:t>
      </w:r>
      <w:r w:rsidRPr="00177FED">
        <w:rPr>
          <w:i/>
          <w:color w:val="auto"/>
        </w:rPr>
        <w:t>2</w:t>
      </w:r>
      <w:r w:rsidR="00506BA5">
        <w:rPr>
          <w:i/>
          <w:color w:val="auto"/>
        </w:rPr>
        <w:t>0</w:t>
      </w:r>
      <w:r w:rsidRPr="00177FED">
        <w:rPr>
          <w:i/>
          <w:color w:val="auto"/>
        </w:rPr>
        <w:t>,</w:t>
      </w:r>
      <w:r w:rsidR="00506BA5">
        <w:rPr>
          <w:i/>
          <w:color w:val="auto"/>
        </w:rPr>
        <w:t>1</w:t>
      </w:r>
      <w:r w:rsidRPr="00177FED">
        <w:rPr>
          <w:i/>
          <w:color w:val="auto"/>
        </w:rPr>
        <w:t xml:space="preserve">%. Por otro lado, la adquisición neta de activos </w:t>
      </w:r>
      <w:r w:rsidR="00D15CA2">
        <w:rPr>
          <w:i/>
          <w:color w:val="auto"/>
        </w:rPr>
        <w:t xml:space="preserve">no </w:t>
      </w:r>
      <w:r w:rsidRPr="00177FED">
        <w:rPr>
          <w:i/>
          <w:color w:val="auto"/>
        </w:rPr>
        <w:t>financieros, gasto</w:t>
      </w:r>
      <w:r w:rsidR="00506BA5">
        <w:rPr>
          <w:i/>
          <w:color w:val="auto"/>
        </w:rPr>
        <w:t>s</w:t>
      </w:r>
      <w:r w:rsidRPr="00177FED">
        <w:rPr>
          <w:i/>
          <w:color w:val="auto"/>
        </w:rPr>
        <w:t xml:space="preserve"> relacionado</w:t>
      </w:r>
      <w:r w:rsidR="00506BA5">
        <w:rPr>
          <w:i/>
          <w:color w:val="auto"/>
        </w:rPr>
        <w:t>s</w:t>
      </w:r>
      <w:r w:rsidRPr="00177FED">
        <w:rPr>
          <w:i/>
          <w:color w:val="auto"/>
        </w:rPr>
        <w:t xml:space="preserve"> a la inversión, alcanzó la suma de </w:t>
      </w:r>
      <w:r w:rsidR="00855A64">
        <w:rPr>
          <w:i/>
          <w:color w:val="auto"/>
        </w:rPr>
        <w:t xml:space="preserve">                           ₲</w:t>
      </w:r>
      <w:r w:rsidRPr="00177FED">
        <w:rPr>
          <w:i/>
          <w:color w:val="auto"/>
        </w:rPr>
        <w:t xml:space="preserve"> 3,</w:t>
      </w:r>
      <w:r w:rsidR="00506BA5">
        <w:rPr>
          <w:i/>
          <w:color w:val="auto"/>
        </w:rPr>
        <w:t>8</w:t>
      </w:r>
      <w:r w:rsidR="00506BA5" w:rsidRPr="00177FED">
        <w:rPr>
          <w:i/>
          <w:color w:val="auto"/>
        </w:rPr>
        <w:t xml:space="preserve"> </w:t>
      </w:r>
      <w:r w:rsidRPr="00177FED">
        <w:rPr>
          <w:i/>
          <w:color w:val="auto"/>
        </w:rPr>
        <w:t xml:space="preserve">billones, con un </w:t>
      </w:r>
      <w:r w:rsidR="00941828" w:rsidRPr="00177FED">
        <w:rPr>
          <w:i/>
          <w:color w:val="auto"/>
        </w:rPr>
        <w:t xml:space="preserve">incremento </w:t>
      </w:r>
      <w:r w:rsidRPr="00177FED">
        <w:rPr>
          <w:i/>
          <w:color w:val="auto"/>
        </w:rPr>
        <w:t xml:space="preserve">del </w:t>
      </w:r>
      <w:r w:rsidR="00506BA5" w:rsidRPr="00177FED">
        <w:rPr>
          <w:i/>
          <w:color w:val="auto"/>
        </w:rPr>
        <w:t>1</w:t>
      </w:r>
      <w:r w:rsidR="00506BA5">
        <w:rPr>
          <w:i/>
          <w:color w:val="auto"/>
        </w:rPr>
        <w:t>3</w:t>
      </w:r>
      <w:r w:rsidRPr="00177FED">
        <w:rPr>
          <w:i/>
          <w:color w:val="auto"/>
        </w:rPr>
        <w:t>,</w:t>
      </w:r>
      <w:r w:rsidR="00506BA5">
        <w:rPr>
          <w:i/>
          <w:color w:val="auto"/>
        </w:rPr>
        <w:t>8</w:t>
      </w:r>
      <w:r w:rsidRPr="00177FED">
        <w:rPr>
          <w:i/>
          <w:color w:val="auto"/>
        </w:rPr>
        <w:t>%</w:t>
      </w:r>
      <w:r w:rsidR="00941828" w:rsidRPr="00177FED">
        <w:rPr>
          <w:i/>
          <w:color w:val="auto"/>
        </w:rPr>
        <w:t xml:space="preserve"> con respecto al </w:t>
      </w:r>
      <w:r w:rsidR="00506BA5" w:rsidRPr="00177FED">
        <w:rPr>
          <w:i/>
          <w:color w:val="auto"/>
        </w:rPr>
        <w:t>201</w:t>
      </w:r>
      <w:r w:rsidR="00506BA5">
        <w:rPr>
          <w:i/>
          <w:color w:val="auto"/>
        </w:rPr>
        <w:t>4</w:t>
      </w:r>
      <w:r w:rsidRPr="00177FED">
        <w:rPr>
          <w:i/>
          <w:color w:val="auto"/>
        </w:rPr>
        <w:t xml:space="preserve">.  </w:t>
      </w:r>
    </w:p>
    <w:p w:rsidR="00AB750B" w:rsidRPr="00E21985" w:rsidRDefault="00AB750B" w:rsidP="00E21985">
      <w:pPr>
        <w:suppressAutoHyphens/>
        <w:jc w:val="both"/>
        <w:rPr>
          <w:i/>
          <w:color w:val="auto"/>
          <w:sz w:val="16"/>
          <w:szCs w:val="16"/>
          <w:highlight w:val="lightGray"/>
        </w:rPr>
      </w:pPr>
    </w:p>
    <w:p w:rsidR="00AB750B" w:rsidRPr="00177FED" w:rsidRDefault="009529FB" w:rsidP="00AB750B">
      <w:pPr>
        <w:suppressAutoHyphens/>
        <w:ind w:firstLine="1985"/>
        <w:jc w:val="both"/>
        <w:rPr>
          <w:i/>
          <w:color w:val="auto"/>
        </w:rPr>
      </w:pPr>
      <w:r>
        <w:rPr>
          <w:i/>
          <w:color w:val="auto"/>
        </w:rPr>
        <w:t>E</w:t>
      </w:r>
      <w:r w:rsidR="00AB750B" w:rsidRPr="00177FED">
        <w:rPr>
          <w:i/>
          <w:color w:val="auto"/>
        </w:rPr>
        <w:t xml:space="preserve">n el año </w:t>
      </w:r>
      <w:r w:rsidR="00AE1B1B" w:rsidRPr="00177FED">
        <w:rPr>
          <w:i/>
          <w:color w:val="auto"/>
        </w:rPr>
        <w:t>201</w:t>
      </w:r>
      <w:r w:rsidR="00AE1B1B">
        <w:rPr>
          <w:i/>
          <w:color w:val="auto"/>
        </w:rPr>
        <w:t>5</w:t>
      </w:r>
      <w:r w:rsidR="00AE1B1B" w:rsidRPr="00177FED">
        <w:rPr>
          <w:i/>
          <w:color w:val="auto"/>
        </w:rPr>
        <w:t xml:space="preserve"> </w:t>
      </w:r>
      <w:r w:rsidR="00AB750B" w:rsidRPr="00177FED">
        <w:rPr>
          <w:i/>
          <w:color w:val="auto"/>
        </w:rPr>
        <w:t>el presupuesto ajustado registr</w:t>
      </w:r>
      <w:r>
        <w:rPr>
          <w:i/>
          <w:color w:val="auto"/>
        </w:rPr>
        <w:t>ó</w:t>
      </w:r>
      <w:r w:rsidR="00AB750B" w:rsidRPr="00177FED">
        <w:rPr>
          <w:i/>
          <w:color w:val="auto"/>
        </w:rPr>
        <w:t xml:space="preserve"> una ejecución del gasto total obligado del </w:t>
      </w:r>
      <w:r w:rsidR="00FD59C6" w:rsidRPr="00177FED">
        <w:rPr>
          <w:i/>
          <w:color w:val="auto"/>
        </w:rPr>
        <w:t>8</w:t>
      </w:r>
      <w:r w:rsidR="00FD59C6">
        <w:rPr>
          <w:i/>
          <w:color w:val="auto"/>
        </w:rPr>
        <w:t>4</w:t>
      </w:r>
      <w:r w:rsidR="00AB750B" w:rsidRPr="00177FED">
        <w:rPr>
          <w:i/>
          <w:color w:val="auto"/>
        </w:rPr>
        <w:t>,</w:t>
      </w:r>
      <w:r w:rsidR="00FD59C6">
        <w:rPr>
          <w:i/>
          <w:color w:val="auto"/>
        </w:rPr>
        <w:t>3</w:t>
      </w:r>
      <w:r w:rsidR="00AB750B" w:rsidRPr="00177FED">
        <w:rPr>
          <w:i/>
          <w:color w:val="auto"/>
        </w:rPr>
        <w:t xml:space="preserve">% y la adquisición neta de activos no financieros </w:t>
      </w:r>
      <w:r w:rsidR="00432D05">
        <w:rPr>
          <w:i/>
          <w:color w:val="auto"/>
        </w:rPr>
        <w:t xml:space="preserve">del </w:t>
      </w:r>
      <w:r w:rsidR="00FD59C6" w:rsidRPr="00177FED">
        <w:rPr>
          <w:i/>
          <w:color w:val="auto"/>
        </w:rPr>
        <w:t>5</w:t>
      </w:r>
      <w:r w:rsidR="00FD59C6">
        <w:rPr>
          <w:i/>
          <w:color w:val="auto"/>
        </w:rPr>
        <w:t>6</w:t>
      </w:r>
      <w:r w:rsidR="00AB750B" w:rsidRPr="00177FED">
        <w:rPr>
          <w:i/>
          <w:color w:val="auto"/>
        </w:rPr>
        <w:t>,</w:t>
      </w:r>
      <w:r w:rsidR="00FD59C6">
        <w:rPr>
          <w:i/>
          <w:color w:val="auto"/>
        </w:rPr>
        <w:t>3</w:t>
      </w:r>
      <w:r w:rsidR="00AB750B" w:rsidRPr="00177FED">
        <w:rPr>
          <w:i/>
          <w:color w:val="auto"/>
        </w:rPr>
        <w:t>%.</w:t>
      </w:r>
    </w:p>
    <w:p w:rsidR="00AB750B" w:rsidRPr="00E21985" w:rsidRDefault="00AB750B" w:rsidP="00AB750B">
      <w:pPr>
        <w:suppressAutoHyphens/>
        <w:jc w:val="both"/>
        <w:rPr>
          <w:i/>
          <w:color w:val="auto"/>
          <w:sz w:val="16"/>
          <w:szCs w:val="16"/>
          <w:highlight w:val="lightGray"/>
        </w:rPr>
      </w:pPr>
    </w:p>
    <w:p w:rsidR="00AB750B" w:rsidRPr="00177FED" w:rsidRDefault="00AB750B" w:rsidP="00AB750B">
      <w:pPr>
        <w:suppressAutoHyphens/>
        <w:ind w:firstLine="1985"/>
        <w:jc w:val="both"/>
        <w:rPr>
          <w:i/>
          <w:color w:val="auto"/>
        </w:rPr>
      </w:pPr>
      <w:r w:rsidRPr="00177FED">
        <w:rPr>
          <w:i/>
          <w:color w:val="auto"/>
        </w:rPr>
        <w:t xml:space="preserve">Al </w:t>
      </w:r>
      <w:r w:rsidR="009529FB">
        <w:rPr>
          <w:i/>
          <w:color w:val="auto"/>
        </w:rPr>
        <w:t xml:space="preserve">cierre del </w:t>
      </w:r>
      <w:r w:rsidRPr="00177FED">
        <w:rPr>
          <w:i/>
          <w:color w:val="auto"/>
        </w:rPr>
        <w:t xml:space="preserve">primer semestre del </w:t>
      </w:r>
      <w:r w:rsidR="00FA37BA" w:rsidRPr="00177FED">
        <w:rPr>
          <w:i/>
          <w:color w:val="auto"/>
        </w:rPr>
        <w:t>201</w:t>
      </w:r>
      <w:r w:rsidR="00FA37BA">
        <w:rPr>
          <w:i/>
          <w:color w:val="auto"/>
        </w:rPr>
        <w:t>6</w:t>
      </w:r>
      <w:r w:rsidRPr="00177FED">
        <w:rPr>
          <w:i/>
          <w:color w:val="auto"/>
        </w:rPr>
        <w:t xml:space="preserve">, el plan de gastos de la Administración Central ha registrado una erogación de </w:t>
      </w:r>
      <w:r w:rsidR="00855A64">
        <w:rPr>
          <w:i/>
          <w:color w:val="auto"/>
        </w:rPr>
        <w:t>₲</w:t>
      </w:r>
      <w:r w:rsidRPr="00177FED">
        <w:rPr>
          <w:i/>
          <w:color w:val="auto"/>
        </w:rPr>
        <w:t xml:space="preserve"> </w:t>
      </w:r>
      <w:r w:rsidR="00FA37BA">
        <w:rPr>
          <w:i/>
          <w:color w:val="auto"/>
        </w:rPr>
        <w:t>1</w:t>
      </w:r>
      <w:r w:rsidR="00A420C7">
        <w:rPr>
          <w:i/>
          <w:color w:val="auto"/>
        </w:rPr>
        <w:t>2</w:t>
      </w:r>
      <w:r w:rsidRPr="00177FED">
        <w:rPr>
          <w:i/>
          <w:color w:val="auto"/>
        </w:rPr>
        <w:t>,</w:t>
      </w:r>
      <w:r w:rsidR="00A420C7">
        <w:rPr>
          <w:i/>
          <w:color w:val="auto"/>
        </w:rPr>
        <w:t>2</w:t>
      </w:r>
      <w:r w:rsidR="00FA37BA" w:rsidRPr="00177FED">
        <w:rPr>
          <w:i/>
          <w:color w:val="auto"/>
        </w:rPr>
        <w:t xml:space="preserve"> </w:t>
      </w:r>
      <w:r w:rsidRPr="00177FED">
        <w:rPr>
          <w:i/>
          <w:color w:val="auto"/>
        </w:rPr>
        <w:t xml:space="preserve">billones, superior en </w:t>
      </w:r>
      <w:r w:rsidR="00A420C7">
        <w:rPr>
          <w:i/>
          <w:color w:val="auto"/>
        </w:rPr>
        <w:t>5</w:t>
      </w:r>
      <w:r w:rsidRPr="00177FED">
        <w:rPr>
          <w:i/>
          <w:color w:val="auto"/>
        </w:rPr>
        <w:t xml:space="preserve">,4% a lo desembolsado en el primer semestre del </w:t>
      </w:r>
      <w:r w:rsidR="00A420C7" w:rsidRPr="00177FED">
        <w:rPr>
          <w:i/>
          <w:color w:val="auto"/>
        </w:rPr>
        <w:t>201</w:t>
      </w:r>
      <w:r w:rsidR="00A420C7">
        <w:rPr>
          <w:i/>
          <w:color w:val="auto"/>
        </w:rPr>
        <w:t>5</w:t>
      </w:r>
      <w:r w:rsidRPr="00177FED">
        <w:rPr>
          <w:i/>
          <w:color w:val="auto"/>
        </w:rPr>
        <w:t xml:space="preserve">. La ejecución presupuestaria del gasto total obligado a junio del </w:t>
      </w:r>
      <w:r w:rsidR="00A420C7" w:rsidRPr="00177FED">
        <w:rPr>
          <w:i/>
          <w:color w:val="auto"/>
        </w:rPr>
        <w:t>201</w:t>
      </w:r>
      <w:r w:rsidR="00A420C7">
        <w:rPr>
          <w:i/>
          <w:color w:val="auto"/>
        </w:rPr>
        <w:t>6</w:t>
      </w:r>
      <w:r w:rsidR="00A420C7" w:rsidRPr="00177FED">
        <w:rPr>
          <w:i/>
          <w:color w:val="auto"/>
        </w:rPr>
        <w:t xml:space="preserve"> </w:t>
      </w:r>
      <w:r w:rsidRPr="00177FED">
        <w:rPr>
          <w:i/>
          <w:color w:val="auto"/>
        </w:rPr>
        <w:t xml:space="preserve">alcanzó </w:t>
      </w:r>
      <w:r w:rsidR="00A420C7">
        <w:rPr>
          <w:i/>
          <w:color w:val="auto"/>
        </w:rPr>
        <w:t>41</w:t>
      </w:r>
      <w:r w:rsidRPr="00177FED">
        <w:rPr>
          <w:i/>
          <w:color w:val="auto"/>
        </w:rPr>
        <w:t>,</w:t>
      </w:r>
      <w:r w:rsidR="00A420C7">
        <w:rPr>
          <w:i/>
          <w:color w:val="auto"/>
        </w:rPr>
        <w:t>8</w:t>
      </w:r>
      <w:r w:rsidRPr="00177FED">
        <w:rPr>
          <w:i/>
          <w:color w:val="auto"/>
        </w:rPr>
        <w:t xml:space="preserve">%. En el desagregado del gasto, las remuneraciones a los empleados representan el </w:t>
      </w:r>
      <w:r w:rsidR="001F4CD0">
        <w:rPr>
          <w:i/>
          <w:color w:val="auto"/>
        </w:rPr>
        <w:t>49</w:t>
      </w:r>
      <w:r w:rsidRPr="00177FED">
        <w:rPr>
          <w:i/>
          <w:color w:val="auto"/>
        </w:rPr>
        <w:t>,</w:t>
      </w:r>
      <w:r w:rsidR="001F4CD0">
        <w:rPr>
          <w:i/>
          <w:color w:val="auto"/>
        </w:rPr>
        <w:t>5</w:t>
      </w:r>
      <w:r w:rsidRPr="00177FED">
        <w:rPr>
          <w:i/>
          <w:color w:val="auto"/>
        </w:rPr>
        <w:t xml:space="preserve">%, alcanzando la suma de </w:t>
      </w:r>
      <w:r w:rsidR="00855A64">
        <w:rPr>
          <w:i/>
          <w:color w:val="auto"/>
        </w:rPr>
        <w:t xml:space="preserve">                               ₲</w:t>
      </w:r>
      <w:r w:rsidRPr="00177FED">
        <w:rPr>
          <w:i/>
          <w:color w:val="auto"/>
        </w:rPr>
        <w:t xml:space="preserve"> 6 billones, superior en </w:t>
      </w:r>
      <w:r w:rsidR="001F4CD0">
        <w:rPr>
          <w:i/>
          <w:color w:val="auto"/>
        </w:rPr>
        <w:t>apenas 0</w:t>
      </w:r>
      <w:r w:rsidRPr="00177FED">
        <w:rPr>
          <w:i/>
          <w:color w:val="auto"/>
        </w:rPr>
        <w:t>,</w:t>
      </w:r>
      <w:r w:rsidR="001F4CD0">
        <w:rPr>
          <w:i/>
          <w:color w:val="auto"/>
        </w:rPr>
        <w:t>7</w:t>
      </w:r>
      <w:r w:rsidRPr="00177FED">
        <w:rPr>
          <w:i/>
          <w:color w:val="auto"/>
        </w:rPr>
        <w:t>% a la ejecución del ejercicio fiscal anterior</w:t>
      </w:r>
      <w:r w:rsidR="001641E2">
        <w:rPr>
          <w:i/>
          <w:color w:val="auto"/>
        </w:rPr>
        <w:t xml:space="preserve"> efecto de la fuerte contención del gasto salarial</w:t>
      </w:r>
      <w:r w:rsidRPr="00177FED">
        <w:rPr>
          <w:i/>
          <w:color w:val="auto"/>
        </w:rPr>
        <w:t>, en tanto que el gasto en bienes y servicios representa el 9</w:t>
      </w:r>
      <w:r w:rsidR="001641E2">
        <w:rPr>
          <w:i/>
          <w:color w:val="auto"/>
        </w:rPr>
        <w:t>,</w:t>
      </w:r>
      <w:r w:rsidR="001F4CD0">
        <w:rPr>
          <w:i/>
          <w:color w:val="auto"/>
        </w:rPr>
        <w:t>6</w:t>
      </w:r>
      <w:r w:rsidRPr="00177FED">
        <w:rPr>
          <w:i/>
          <w:color w:val="auto"/>
        </w:rPr>
        <w:t xml:space="preserve">%, con un nivel de gasto de </w:t>
      </w:r>
      <w:r w:rsidR="00855A64">
        <w:rPr>
          <w:i/>
          <w:color w:val="auto"/>
        </w:rPr>
        <w:t>₲</w:t>
      </w:r>
      <w:r w:rsidRPr="00177FED">
        <w:rPr>
          <w:i/>
          <w:color w:val="auto"/>
        </w:rPr>
        <w:t xml:space="preserve"> </w:t>
      </w:r>
      <w:r w:rsidR="001F4CD0">
        <w:rPr>
          <w:i/>
          <w:color w:val="auto"/>
        </w:rPr>
        <w:t>1,2</w:t>
      </w:r>
      <w:r w:rsidR="001F4CD0" w:rsidRPr="00177FED">
        <w:rPr>
          <w:i/>
          <w:color w:val="auto"/>
        </w:rPr>
        <w:t xml:space="preserve"> bill</w:t>
      </w:r>
      <w:r w:rsidR="001F4CD0">
        <w:rPr>
          <w:i/>
          <w:color w:val="auto"/>
        </w:rPr>
        <w:t>ones</w:t>
      </w:r>
      <w:r w:rsidRPr="00177FED">
        <w:rPr>
          <w:i/>
          <w:color w:val="auto"/>
        </w:rPr>
        <w:t xml:space="preserve">, superior en </w:t>
      </w:r>
      <w:r w:rsidR="001F4CD0">
        <w:rPr>
          <w:i/>
          <w:color w:val="auto"/>
        </w:rPr>
        <w:t>10</w:t>
      </w:r>
      <w:r w:rsidRPr="00177FED">
        <w:rPr>
          <w:i/>
          <w:color w:val="auto"/>
        </w:rPr>
        <w:t xml:space="preserve">,8% a lo ejecutado en el </w:t>
      </w:r>
      <w:r w:rsidR="001F4CD0" w:rsidRPr="00177FED">
        <w:rPr>
          <w:i/>
          <w:color w:val="auto"/>
        </w:rPr>
        <w:t>201</w:t>
      </w:r>
      <w:r w:rsidR="001F4CD0">
        <w:rPr>
          <w:i/>
          <w:color w:val="auto"/>
        </w:rPr>
        <w:t>5</w:t>
      </w:r>
      <w:r w:rsidRPr="00177FED">
        <w:rPr>
          <w:i/>
          <w:color w:val="auto"/>
        </w:rPr>
        <w:t>.</w:t>
      </w:r>
      <w:r w:rsidR="00EA28EA">
        <w:rPr>
          <w:i/>
          <w:color w:val="auto"/>
        </w:rPr>
        <w:t xml:space="preserve"> </w:t>
      </w:r>
      <w:r w:rsidRPr="00177FED">
        <w:rPr>
          <w:i/>
          <w:color w:val="auto"/>
        </w:rPr>
        <w:t xml:space="preserve">Por su parte los intereses representan el </w:t>
      </w:r>
      <w:r w:rsidR="001F4CD0">
        <w:rPr>
          <w:i/>
          <w:color w:val="auto"/>
        </w:rPr>
        <w:t>4</w:t>
      </w:r>
      <w:r w:rsidRPr="00177FED">
        <w:rPr>
          <w:i/>
          <w:color w:val="auto"/>
        </w:rPr>
        <w:t xml:space="preserve">,4%, </w:t>
      </w:r>
      <w:r w:rsidR="00855A64">
        <w:rPr>
          <w:i/>
          <w:color w:val="auto"/>
        </w:rPr>
        <w:t>₲</w:t>
      </w:r>
      <w:r w:rsidRPr="00177FED">
        <w:rPr>
          <w:i/>
          <w:color w:val="auto"/>
        </w:rPr>
        <w:t xml:space="preserve"> </w:t>
      </w:r>
      <w:r w:rsidR="001F4CD0">
        <w:rPr>
          <w:i/>
          <w:color w:val="auto"/>
        </w:rPr>
        <w:t>534 mil millones</w:t>
      </w:r>
      <w:r w:rsidR="009529FB">
        <w:rPr>
          <w:i/>
          <w:color w:val="auto"/>
        </w:rPr>
        <w:t>;</w:t>
      </w:r>
      <w:r w:rsidRPr="00177FED">
        <w:rPr>
          <w:i/>
          <w:color w:val="auto"/>
        </w:rPr>
        <w:t xml:space="preserve"> las donaciones (transferencias) </w:t>
      </w:r>
      <w:r w:rsidR="001F4CD0" w:rsidRPr="00177FED">
        <w:rPr>
          <w:i/>
          <w:color w:val="auto"/>
        </w:rPr>
        <w:t>1</w:t>
      </w:r>
      <w:r w:rsidR="001F4CD0">
        <w:rPr>
          <w:i/>
          <w:color w:val="auto"/>
        </w:rPr>
        <w:t>8,5</w:t>
      </w:r>
      <w:r w:rsidRPr="00177FED">
        <w:rPr>
          <w:i/>
          <w:color w:val="auto"/>
        </w:rPr>
        <w:t xml:space="preserve">%, </w:t>
      </w:r>
      <w:r w:rsidR="00855A64">
        <w:rPr>
          <w:i/>
          <w:color w:val="auto"/>
        </w:rPr>
        <w:t>₲</w:t>
      </w:r>
      <w:r w:rsidRPr="00177FED">
        <w:rPr>
          <w:i/>
          <w:color w:val="auto"/>
        </w:rPr>
        <w:t xml:space="preserve"> </w:t>
      </w:r>
      <w:r w:rsidR="001F4CD0">
        <w:rPr>
          <w:i/>
          <w:color w:val="auto"/>
        </w:rPr>
        <w:t>2</w:t>
      </w:r>
      <w:r w:rsidRPr="00177FED">
        <w:rPr>
          <w:i/>
          <w:color w:val="auto"/>
        </w:rPr>
        <w:t>,</w:t>
      </w:r>
      <w:r w:rsidR="001F4CD0">
        <w:rPr>
          <w:i/>
          <w:color w:val="auto"/>
        </w:rPr>
        <w:t>3</w:t>
      </w:r>
      <w:r w:rsidR="001F4CD0" w:rsidRPr="00177FED">
        <w:rPr>
          <w:i/>
          <w:color w:val="auto"/>
        </w:rPr>
        <w:t xml:space="preserve"> </w:t>
      </w:r>
      <w:r w:rsidRPr="00177FED">
        <w:rPr>
          <w:i/>
          <w:color w:val="auto"/>
        </w:rPr>
        <w:t>billones</w:t>
      </w:r>
      <w:r w:rsidR="009529FB">
        <w:rPr>
          <w:i/>
          <w:color w:val="auto"/>
        </w:rPr>
        <w:t>;</w:t>
      </w:r>
      <w:r w:rsidRPr="00177FED">
        <w:rPr>
          <w:i/>
          <w:color w:val="auto"/>
        </w:rPr>
        <w:t xml:space="preserve"> las prestaciones sociales (jubilaciones y pensiones) </w:t>
      </w:r>
      <w:r w:rsidR="001F4CD0">
        <w:rPr>
          <w:i/>
          <w:color w:val="auto"/>
        </w:rPr>
        <w:t>15</w:t>
      </w:r>
      <w:r w:rsidRPr="00177FED">
        <w:rPr>
          <w:i/>
          <w:color w:val="auto"/>
        </w:rPr>
        <w:t>,</w:t>
      </w:r>
      <w:r w:rsidR="001F4CD0">
        <w:rPr>
          <w:i/>
          <w:color w:val="auto"/>
        </w:rPr>
        <w:t>2</w:t>
      </w:r>
      <w:r w:rsidRPr="00177FED">
        <w:rPr>
          <w:i/>
          <w:color w:val="auto"/>
        </w:rPr>
        <w:t xml:space="preserve">% </w:t>
      </w:r>
      <w:r w:rsidR="00855A64">
        <w:rPr>
          <w:i/>
          <w:color w:val="auto"/>
        </w:rPr>
        <w:t xml:space="preserve">₲ </w:t>
      </w:r>
      <w:r w:rsidRPr="00177FED">
        <w:rPr>
          <w:i/>
          <w:color w:val="auto"/>
        </w:rPr>
        <w:t>1,</w:t>
      </w:r>
      <w:r w:rsidR="001F4CD0">
        <w:rPr>
          <w:i/>
          <w:color w:val="auto"/>
        </w:rPr>
        <w:t>9</w:t>
      </w:r>
      <w:r w:rsidR="001F4CD0" w:rsidRPr="00177FED">
        <w:rPr>
          <w:i/>
          <w:color w:val="auto"/>
        </w:rPr>
        <w:t xml:space="preserve"> </w:t>
      </w:r>
      <w:r w:rsidRPr="00177FED">
        <w:rPr>
          <w:i/>
          <w:color w:val="auto"/>
        </w:rPr>
        <w:t>billones</w:t>
      </w:r>
      <w:r w:rsidR="009529FB">
        <w:rPr>
          <w:i/>
          <w:color w:val="auto"/>
        </w:rPr>
        <w:t>;</w:t>
      </w:r>
      <w:r w:rsidRPr="00177FED">
        <w:rPr>
          <w:i/>
          <w:color w:val="auto"/>
        </w:rPr>
        <w:t xml:space="preserve"> y otros gastos </w:t>
      </w:r>
      <w:r w:rsidR="001F4CD0">
        <w:rPr>
          <w:i/>
          <w:color w:val="auto"/>
        </w:rPr>
        <w:t>2</w:t>
      </w:r>
      <w:r w:rsidRPr="00177FED">
        <w:rPr>
          <w:i/>
          <w:color w:val="auto"/>
        </w:rPr>
        <w:t>,</w:t>
      </w:r>
      <w:r w:rsidR="001F4CD0">
        <w:rPr>
          <w:i/>
          <w:color w:val="auto"/>
        </w:rPr>
        <w:t>8</w:t>
      </w:r>
      <w:r w:rsidRPr="00177FED">
        <w:rPr>
          <w:i/>
          <w:color w:val="auto"/>
        </w:rPr>
        <w:t>%.</w:t>
      </w:r>
    </w:p>
    <w:p w:rsidR="00E21985" w:rsidRPr="00E21985" w:rsidRDefault="00E21985">
      <w:pPr>
        <w:spacing w:after="200" w:line="276" w:lineRule="auto"/>
        <w:rPr>
          <w:i/>
          <w:color w:val="auto"/>
        </w:rPr>
      </w:pPr>
      <w:r>
        <w:rPr>
          <w:i/>
          <w:color w:val="C00000"/>
        </w:rPr>
        <w:br w:type="page"/>
      </w:r>
    </w:p>
    <w:p w:rsidR="00E21985" w:rsidRPr="00484D7D" w:rsidRDefault="00E21985" w:rsidP="00E21985">
      <w:pPr>
        <w:jc w:val="center"/>
        <w:rPr>
          <w:i/>
          <w:color w:val="000000" w:themeColor="text1"/>
          <w:lang w:val="es-ES_tradnl"/>
        </w:rPr>
      </w:pPr>
      <w:r>
        <w:rPr>
          <w:i/>
          <w:color w:val="000000" w:themeColor="text1"/>
          <w:lang w:val="es-ES_tradnl"/>
        </w:rPr>
        <w:lastRenderedPageBreak/>
        <w:t>-8-</w:t>
      </w:r>
    </w:p>
    <w:p w:rsidR="00E21985" w:rsidRDefault="00E21985" w:rsidP="00E21985">
      <w:pPr>
        <w:jc w:val="both"/>
        <w:rPr>
          <w:i/>
          <w:color w:val="000000" w:themeColor="text1"/>
          <w:lang w:val="es-ES_tradnl"/>
        </w:rPr>
      </w:pPr>
    </w:p>
    <w:p w:rsidR="00E21985" w:rsidRPr="00484D7D" w:rsidRDefault="00E21985" w:rsidP="00E21985">
      <w:pPr>
        <w:jc w:val="both"/>
        <w:rPr>
          <w:i/>
          <w:color w:val="000000" w:themeColor="text1"/>
          <w:lang w:val="es-ES_tradnl"/>
        </w:rPr>
      </w:pPr>
    </w:p>
    <w:p w:rsidR="00E21985" w:rsidRPr="00484D7D" w:rsidRDefault="00E21985" w:rsidP="00E21985">
      <w:pPr>
        <w:jc w:val="both"/>
        <w:rPr>
          <w:i/>
          <w:color w:val="000000" w:themeColor="text1"/>
          <w:lang w:val="es-ES_tradnl"/>
        </w:rPr>
      </w:pPr>
    </w:p>
    <w:p w:rsidR="00E21985" w:rsidRPr="00484D7D" w:rsidRDefault="00E21985" w:rsidP="00E21985">
      <w:pPr>
        <w:jc w:val="both"/>
        <w:rPr>
          <w:i/>
          <w:color w:val="000000" w:themeColor="text1"/>
          <w:lang w:val="es-ES_tradnl"/>
        </w:rPr>
      </w:pPr>
      <w:r w:rsidRPr="00484D7D">
        <w:rPr>
          <w:i/>
          <w:color w:val="000000" w:themeColor="text1"/>
          <w:lang w:val="es-ES_tradnl"/>
        </w:rPr>
        <w:t>N°________</w:t>
      </w:r>
    </w:p>
    <w:p w:rsidR="00E21985" w:rsidRPr="00484D7D" w:rsidRDefault="00E21985" w:rsidP="00E21985">
      <w:pPr>
        <w:jc w:val="both"/>
        <w:rPr>
          <w:i/>
          <w:color w:val="000000" w:themeColor="text1"/>
          <w:lang w:val="es-ES_tradnl"/>
        </w:rPr>
      </w:pPr>
    </w:p>
    <w:p w:rsidR="00E21985" w:rsidRPr="00484D7D" w:rsidRDefault="00E21985" w:rsidP="00E21985">
      <w:pPr>
        <w:jc w:val="both"/>
        <w:rPr>
          <w:i/>
          <w:color w:val="000000" w:themeColor="text1"/>
          <w:lang w:val="es-ES_tradnl"/>
        </w:rPr>
      </w:pPr>
    </w:p>
    <w:p w:rsidR="00AB750B" w:rsidRPr="00E21985" w:rsidRDefault="00AB750B" w:rsidP="00E21985">
      <w:pPr>
        <w:suppressAutoHyphens/>
        <w:jc w:val="both"/>
        <w:rPr>
          <w:i/>
          <w:color w:val="auto"/>
        </w:rPr>
      </w:pPr>
    </w:p>
    <w:p w:rsidR="00AB750B" w:rsidRPr="00177FED" w:rsidRDefault="00AB750B" w:rsidP="00AB750B">
      <w:pPr>
        <w:suppressAutoHyphens/>
        <w:ind w:firstLine="1985"/>
        <w:jc w:val="both"/>
        <w:rPr>
          <w:i/>
          <w:color w:val="auto"/>
        </w:rPr>
      </w:pPr>
      <w:r w:rsidRPr="00177FED">
        <w:rPr>
          <w:i/>
          <w:color w:val="auto"/>
        </w:rPr>
        <w:t xml:space="preserve">Por su parte, la adquisición neta de activos no financieros alcanzó la suma de </w:t>
      </w:r>
      <w:r w:rsidR="00855A64">
        <w:rPr>
          <w:i/>
          <w:color w:val="auto"/>
        </w:rPr>
        <w:t xml:space="preserve">₲ </w:t>
      </w:r>
      <w:r w:rsidRPr="00177FED">
        <w:rPr>
          <w:i/>
          <w:color w:val="auto"/>
        </w:rPr>
        <w:t>1,</w:t>
      </w:r>
      <w:r w:rsidR="001F4CD0">
        <w:rPr>
          <w:i/>
          <w:color w:val="auto"/>
        </w:rPr>
        <w:t>7</w:t>
      </w:r>
      <w:r w:rsidR="001F4CD0" w:rsidRPr="00177FED">
        <w:rPr>
          <w:i/>
          <w:color w:val="auto"/>
        </w:rPr>
        <w:t xml:space="preserve"> </w:t>
      </w:r>
      <w:r w:rsidRPr="00177FED">
        <w:rPr>
          <w:i/>
          <w:color w:val="auto"/>
        </w:rPr>
        <w:t xml:space="preserve">billones, superior en </w:t>
      </w:r>
      <w:r w:rsidR="001F4CD0">
        <w:rPr>
          <w:i/>
          <w:color w:val="auto"/>
        </w:rPr>
        <w:t>29</w:t>
      </w:r>
      <w:r w:rsidRPr="00177FED">
        <w:rPr>
          <w:i/>
          <w:color w:val="auto"/>
        </w:rPr>
        <w:t>,</w:t>
      </w:r>
      <w:r w:rsidR="001F4CD0">
        <w:rPr>
          <w:i/>
          <w:color w:val="auto"/>
        </w:rPr>
        <w:t>2</w:t>
      </w:r>
      <w:r w:rsidRPr="00177FED">
        <w:rPr>
          <w:i/>
          <w:color w:val="auto"/>
        </w:rPr>
        <w:t xml:space="preserve">% a lo observado al mes de junio de </w:t>
      </w:r>
      <w:r w:rsidR="00D826D2" w:rsidRPr="00177FED">
        <w:rPr>
          <w:i/>
          <w:color w:val="auto"/>
        </w:rPr>
        <w:t>2015</w:t>
      </w:r>
      <w:r w:rsidRPr="00177FED">
        <w:rPr>
          <w:i/>
          <w:color w:val="auto"/>
        </w:rPr>
        <w:t xml:space="preserve">. </w:t>
      </w:r>
    </w:p>
    <w:p w:rsidR="00556983" w:rsidRPr="00A77738" w:rsidRDefault="00556983" w:rsidP="00556983">
      <w:pPr>
        <w:suppressAutoHyphens/>
        <w:jc w:val="both"/>
        <w:rPr>
          <w:i/>
          <w:color w:val="000000" w:themeColor="text1"/>
        </w:rPr>
      </w:pPr>
    </w:p>
    <w:p w:rsidR="00A97E92" w:rsidRPr="00177FED" w:rsidRDefault="00A97E92" w:rsidP="00177FED">
      <w:pPr>
        <w:suppressAutoHyphens/>
        <w:ind w:firstLine="1985"/>
        <w:jc w:val="both"/>
        <w:rPr>
          <w:i/>
          <w:color w:val="auto"/>
        </w:rPr>
      </w:pPr>
      <w:r w:rsidRPr="00177FED">
        <w:rPr>
          <w:i/>
          <w:color w:val="auto"/>
        </w:rPr>
        <w:t>Los niveles de deuda del sector público siguen estables</w:t>
      </w:r>
      <w:r w:rsidR="000A52B2">
        <w:rPr>
          <w:i/>
          <w:color w:val="auto"/>
        </w:rPr>
        <w:t>, constituyéndose</w:t>
      </w:r>
      <w:r w:rsidR="001641E2">
        <w:rPr>
          <w:i/>
          <w:color w:val="auto"/>
        </w:rPr>
        <w:t xml:space="preserve"> </w:t>
      </w:r>
      <w:r w:rsidR="000A52B2">
        <w:rPr>
          <w:i/>
          <w:color w:val="auto"/>
        </w:rPr>
        <w:t>así</w:t>
      </w:r>
      <w:r w:rsidR="007323A4">
        <w:rPr>
          <w:i/>
          <w:color w:val="auto"/>
        </w:rPr>
        <w:t>,</w:t>
      </w:r>
      <w:r w:rsidR="000A52B2">
        <w:rPr>
          <w:i/>
          <w:color w:val="auto"/>
        </w:rPr>
        <w:t xml:space="preserve"> en evidencia de la sólida posición del país. A</w:t>
      </w:r>
      <w:r w:rsidRPr="00177FED">
        <w:rPr>
          <w:i/>
          <w:color w:val="auto"/>
        </w:rPr>
        <w:t xml:space="preserve">l mes de junio del año 2015 </w:t>
      </w:r>
      <w:r w:rsidR="000A52B2">
        <w:rPr>
          <w:i/>
          <w:color w:val="auto"/>
        </w:rPr>
        <w:t xml:space="preserve">se </w:t>
      </w:r>
      <w:r w:rsidRPr="00177FED">
        <w:rPr>
          <w:i/>
          <w:color w:val="auto"/>
        </w:rPr>
        <w:t xml:space="preserve">registra un saldo </w:t>
      </w:r>
      <w:r w:rsidR="000A52B2">
        <w:rPr>
          <w:i/>
          <w:color w:val="auto"/>
        </w:rPr>
        <w:t xml:space="preserve">de deuda pública </w:t>
      </w:r>
      <w:r w:rsidRPr="00177FED">
        <w:rPr>
          <w:i/>
          <w:color w:val="auto"/>
        </w:rPr>
        <w:t xml:space="preserve">de US$ </w:t>
      </w:r>
      <w:r w:rsidR="00EC4344">
        <w:rPr>
          <w:i/>
          <w:color w:val="auto"/>
        </w:rPr>
        <w:t>6</w:t>
      </w:r>
      <w:r w:rsidRPr="00177FED">
        <w:rPr>
          <w:i/>
          <w:color w:val="auto"/>
        </w:rPr>
        <w:t>.</w:t>
      </w:r>
      <w:r w:rsidR="00EC4344">
        <w:rPr>
          <w:i/>
          <w:color w:val="auto"/>
        </w:rPr>
        <w:t>109</w:t>
      </w:r>
      <w:r w:rsidR="00EC4344" w:rsidRPr="00177FED">
        <w:rPr>
          <w:i/>
          <w:color w:val="auto"/>
        </w:rPr>
        <w:t xml:space="preserve"> </w:t>
      </w:r>
      <w:r w:rsidRPr="00177FED">
        <w:rPr>
          <w:i/>
          <w:color w:val="auto"/>
        </w:rPr>
        <w:t xml:space="preserve">millones, equivalente al </w:t>
      </w:r>
      <w:r w:rsidR="00EC4344">
        <w:rPr>
          <w:i/>
          <w:color w:val="auto"/>
        </w:rPr>
        <w:t>22</w:t>
      </w:r>
      <w:r w:rsidRPr="00177FED">
        <w:rPr>
          <w:i/>
          <w:color w:val="auto"/>
        </w:rPr>
        <w:t>,</w:t>
      </w:r>
      <w:r w:rsidR="00EC4344">
        <w:rPr>
          <w:i/>
          <w:color w:val="auto"/>
        </w:rPr>
        <w:t>4</w:t>
      </w:r>
      <w:r w:rsidRPr="00177FED">
        <w:rPr>
          <w:i/>
          <w:color w:val="auto"/>
        </w:rPr>
        <w:t xml:space="preserve">% del PIB; por encima del saldo del </w:t>
      </w:r>
      <w:r w:rsidR="00EC4344">
        <w:rPr>
          <w:i/>
          <w:color w:val="auto"/>
        </w:rPr>
        <w:t>19</w:t>
      </w:r>
      <w:r w:rsidRPr="00177FED">
        <w:rPr>
          <w:i/>
          <w:color w:val="auto"/>
        </w:rPr>
        <w:t>,</w:t>
      </w:r>
      <w:r w:rsidR="00EC4344">
        <w:rPr>
          <w:i/>
          <w:color w:val="auto"/>
        </w:rPr>
        <w:t>7</w:t>
      </w:r>
      <w:r w:rsidRPr="00177FED">
        <w:rPr>
          <w:i/>
          <w:color w:val="auto"/>
        </w:rPr>
        <w:t xml:space="preserve">% del PIB registrado en el </w:t>
      </w:r>
      <w:r w:rsidR="00EC4344" w:rsidRPr="00177FED">
        <w:rPr>
          <w:i/>
          <w:color w:val="auto"/>
        </w:rPr>
        <w:t>201</w:t>
      </w:r>
      <w:r w:rsidR="00EC4344">
        <w:rPr>
          <w:i/>
          <w:color w:val="auto"/>
        </w:rPr>
        <w:t>5</w:t>
      </w:r>
      <w:r w:rsidRPr="00177FED">
        <w:rPr>
          <w:i/>
          <w:color w:val="auto"/>
        </w:rPr>
        <w:t xml:space="preserve">. La deuda externa representa el </w:t>
      </w:r>
      <w:r w:rsidR="00EC4344" w:rsidRPr="00177FED">
        <w:rPr>
          <w:i/>
          <w:color w:val="auto"/>
        </w:rPr>
        <w:t>7</w:t>
      </w:r>
      <w:r w:rsidR="00EC4344">
        <w:rPr>
          <w:i/>
          <w:color w:val="auto"/>
        </w:rPr>
        <w:t>6,3</w:t>
      </w:r>
      <w:r w:rsidR="00EC4344" w:rsidRPr="00177FED" w:rsidDel="00EC4344">
        <w:rPr>
          <w:i/>
          <w:color w:val="auto"/>
        </w:rPr>
        <w:t xml:space="preserve"> </w:t>
      </w:r>
      <w:r w:rsidRPr="00177FED">
        <w:rPr>
          <w:i/>
          <w:color w:val="auto"/>
        </w:rPr>
        <w:t xml:space="preserve">% del total (US$ </w:t>
      </w:r>
      <w:r w:rsidR="00EC4344">
        <w:rPr>
          <w:i/>
          <w:color w:val="auto"/>
        </w:rPr>
        <w:t>4</w:t>
      </w:r>
      <w:r w:rsidRPr="00177FED">
        <w:rPr>
          <w:i/>
          <w:color w:val="auto"/>
        </w:rPr>
        <w:t>.</w:t>
      </w:r>
      <w:r w:rsidR="00EC4344">
        <w:rPr>
          <w:i/>
          <w:color w:val="auto"/>
        </w:rPr>
        <w:t>661</w:t>
      </w:r>
      <w:r w:rsidR="00EC4344" w:rsidRPr="00177FED">
        <w:rPr>
          <w:i/>
          <w:color w:val="auto"/>
        </w:rPr>
        <w:t xml:space="preserve"> </w:t>
      </w:r>
      <w:r w:rsidRPr="00177FED">
        <w:rPr>
          <w:i/>
          <w:color w:val="auto"/>
        </w:rPr>
        <w:t xml:space="preserve">millones) y el </w:t>
      </w:r>
      <w:r w:rsidR="00EC4344" w:rsidRPr="00177FED">
        <w:rPr>
          <w:i/>
          <w:color w:val="auto"/>
        </w:rPr>
        <w:t>2</w:t>
      </w:r>
      <w:r w:rsidR="00EC4344">
        <w:rPr>
          <w:i/>
          <w:color w:val="auto"/>
        </w:rPr>
        <w:t>3</w:t>
      </w:r>
      <w:r w:rsidRPr="00177FED">
        <w:rPr>
          <w:i/>
          <w:color w:val="auto"/>
        </w:rPr>
        <w:t>,</w:t>
      </w:r>
      <w:r w:rsidR="00EC4344">
        <w:rPr>
          <w:i/>
          <w:color w:val="auto"/>
        </w:rPr>
        <w:t>7</w:t>
      </w:r>
      <w:r w:rsidRPr="00177FED">
        <w:rPr>
          <w:i/>
          <w:color w:val="auto"/>
        </w:rPr>
        <w:t>% restante (US$ 1.</w:t>
      </w:r>
      <w:r w:rsidR="00EC4344">
        <w:rPr>
          <w:i/>
          <w:color w:val="auto"/>
        </w:rPr>
        <w:t>448</w:t>
      </w:r>
      <w:r w:rsidR="00EC4344" w:rsidRPr="00177FED">
        <w:rPr>
          <w:i/>
          <w:color w:val="auto"/>
        </w:rPr>
        <w:t xml:space="preserve"> </w:t>
      </w:r>
      <w:r w:rsidRPr="00177FED">
        <w:rPr>
          <w:i/>
          <w:color w:val="auto"/>
        </w:rPr>
        <w:t>millones) corresponde a la deuda interna</w:t>
      </w:r>
      <w:r w:rsidR="004356DB">
        <w:rPr>
          <w:i/>
          <w:color w:val="auto"/>
        </w:rPr>
        <w:t>.</w:t>
      </w:r>
    </w:p>
    <w:p w:rsidR="00A97E92" w:rsidRDefault="00A97E92" w:rsidP="00177FED">
      <w:pPr>
        <w:ind w:firstLine="708"/>
        <w:rPr>
          <w:color w:val="1F497D"/>
          <w:lang w:val="es-PY" w:eastAsia="en-US"/>
        </w:rPr>
      </w:pPr>
    </w:p>
    <w:p w:rsidR="00614693" w:rsidRDefault="00614693" w:rsidP="00614693">
      <w:pPr>
        <w:suppressAutoHyphens/>
        <w:jc w:val="center"/>
        <w:rPr>
          <w:b/>
          <w:i/>
          <w:color w:val="000000" w:themeColor="text1"/>
        </w:rPr>
      </w:pPr>
      <w:r w:rsidRPr="00A77738">
        <w:rPr>
          <w:b/>
          <w:i/>
          <w:color w:val="000000" w:themeColor="text1"/>
        </w:rPr>
        <w:t xml:space="preserve">Presupuesto General de la Nación </w:t>
      </w:r>
      <w:r w:rsidR="00D826D2" w:rsidRPr="004C71FB">
        <w:rPr>
          <w:b/>
          <w:i/>
          <w:color w:val="000000" w:themeColor="text1"/>
        </w:rPr>
        <w:t>201</w:t>
      </w:r>
      <w:r w:rsidR="00F750A2">
        <w:rPr>
          <w:b/>
          <w:i/>
          <w:color w:val="000000" w:themeColor="text1"/>
        </w:rPr>
        <w:t>7</w:t>
      </w:r>
    </w:p>
    <w:p w:rsidR="00326C4E" w:rsidRPr="00A77738" w:rsidRDefault="00326C4E" w:rsidP="00614693">
      <w:pPr>
        <w:suppressAutoHyphens/>
        <w:jc w:val="center"/>
        <w:rPr>
          <w:b/>
          <w:i/>
          <w:color w:val="000000" w:themeColor="text1"/>
        </w:rPr>
      </w:pPr>
    </w:p>
    <w:p w:rsidR="00DE3FDB" w:rsidRPr="00177FED" w:rsidRDefault="00DE3FDB" w:rsidP="00DE3FDB">
      <w:pPr>
        <w:numPr>
          <w:ilvl w:val="0"/>
          <w:numId w:val="1"/>
        </w:numPr>
        <w:suppressAutoHyphens/>
        <w:contextualSpacing/>
        <w:jc w:val="both"/>
        <w:rPr>
          <w:b/>
          <w:i/>
          <w:color w:val="000000" w:themeColor="text1"/>
        </w:rPr>
      </w:pPr>
      <w:r w:rsidRPr="00177FED">
        <w:rPr>
          <w:b/>
          <w:i/>
          <w:color w:val="000000" w:themeColor="text1"/>
        </w:rPr>
        <w:t>Ley de Responsabilidad Fiscal</w:t>
      </w:r>
    </w:p>
    <w:p w:rsidR="00DE3FDB" w:rsidRDefault="00DE3FDB" w:rsidP="00EE4701">
      <w:pPr>
        <w:suppressAutoHyphens/>
        <w:contextualSpacing/>
        <w:jc w:val="both"/>
        <w:rPr>
          <w:color w:val="000000" w:themeColor="text1"/>
        </w:rPr>
      </w:pPr>
    </w:p>
    <w:p w:rsidR="00DE3FDB" w:rsidRDefault="00DE3FDB" w:rsidP="00DE3FDB">
      <w:pPr>
        <w:suppressAutoHyphens/>
        <w:ind w:firstLine="1985"/>
        <w:jc w:val="both"/>
        <w:rPr>
          <w:i/>
          <w:color w:val="000000" w:themeColor="text1"/>
        </w:rPr>
      </w:pPr>
      <w:r w:rsidRPr="003E66E8">
        <w:rPr>
          <w:i/>
          <w:color w:val="000000" w:themeColor="text1"/>
        </w:rPr>
        <w:t>La Ley Nº 5098</w:t>
      </w:r>
      <w:r>
        <w:rPr>
          <w:i/>
          <w:color w:val="000000" w:themeColor="text1"/>
        </w:rPr>
        <w:t>/2013</w:t>
      </w:r>
      <w:r w:rsidRPr="003E66E8">
        <w:rPr>
          <w:i/>
          <w:color w:val="000000" w:themeColor="text1"/>
        </w:rPr>
        <w:t xml:space="preserve"> de Responsabilidad Fiscal, </w:t>
      </w:r>
      <w:r>
        <w:rPr>
          <w:i/>
          <w:color w:val="000000" w:themeColor="text1"/>
        </w:rPr>
        <w:t xml:space="preserve">es un avance considerable que </w:t>
      </w:r>
      <w:r w:rsidRPr="003E66E8">
        <w:rPr>
          <w:i/>
          <w:color w:val="000000" w:themeColor="text1"/>
        </w:rPr>
        <w:t>busca preservar la estabilidad macroeconómica</w:t>
      </w:r>
      <w:r>
        <w:rPr>
          <w:i/>
          <w:color w:val="000000" w:themeColor="text1"/>
        </w:rPr>
        <w:t>, mejorar el debate presupuestario y contener las presiones para el aumento del gasto corriente.</w:t>
      </w:r>
    </w:p>
    <w:p w:rsidR="00DE3FDB" w:rsidRDefault="00DE3FDB" w:rsidP="00EE4701">
      <w:pPr>
        <w:suppressAutoHyphens/>
        <w:jc w:val="both"/>
        <w:rPr>
          <w:i/>
          <w:color w:val="000000" w:themeColor="text1"/>
        </w:rPr>
      </w:pPr>
    </w:p>
    <w:p w:rsidR="00D11C5D" w:rsidRDefault="00D11C5D" w:rsidP="00DE3FDB">
      <w:pPr>
        <w:suppressAutoHyphens/>
        <w:ind w:firstLine="1985"/>
        <w:jc w:val="both"/>
        <w:rPr>
          <w:i/>
          <w:color w:val="000000" w:themeColor="text1"/>
        </w:rPr>
      </w:pPr>
      <w:r>
        <w:rPr>
          <w:i/>
          <w:color w:val="000000" w:themeColor="text1"/>
        </w:rPr>
        <w:t xml:space="preserve">En </w:t>
      </w:r>
      <w:r w:rsidRPr="00D11C5D">
        <w:rPr>
          <w:i/>
          <w:color w:val="000000" w:themeColor="text1"/>
        </w:rPr>
        <w:t xml:space="preserve">su artículo 7º </w:t>
      </w:r>
      <w:r w:rsidR="00855A64">
        <w:rPr>
          <w:i/>
          <w:color w:val="000000" w:themeColor="text1"/>
        </w:rPr>
        <w:t xml:space="preserve">de la citada ley </w:t>
      </w:r>
      <w:r w:rsidRPr="00D11C5D">
        <w:rPr>
          <w:i/>
          <w:color w:val="000000" w:themeColor="text1"/>
        </w:rPr>
        <w:t>establece tres reglas fiscales que se deben observar para la elaboración y aprobación del Presupuesto General de la Nación</w:t>
      </w:r>
      <w:r>
        <w:rPr>
          <w:i/>
          <w:color w:val="000000" w:themeColor="text1"/>
        </w:rPr>
        <w:t xml:space="preserve"> y</w:t>
      </w:r>
      <w:r w:rsidR="00855A64">
        <w:rPr>
          <w:i/>
          <w:color w:val="000000" w:themeColor="text1"/>
        </w:rPr>
        <w:t>,</w:t>
      </w:r>
      <w:r>
        <w:rPr>
          <w:i/>
          <w:color w:val="000000" w:themeColor="text1"/>
        </w:rPr>
        <w:t xml:space="preserve"> en este sentido</w:t>
      </w:r>
      <w:r w:rsidR="00855A64">
        <w:rPr>
          <w:i/>
          <w:color w:val="000000" w:themeColor="text1"/>
        </w:rPr>
        <w:t>,</w:t>
      </w:r>
      <w:r>
        <w:rPr>
          <w:i/>
          <w:color w:val="000000" w:themeColor="text1"/>
        </w:rPr>
        <w:t xml:space="preserve"> el Proyecto</w:t>
      </w:r>
      <w:r w:rsidR="00D410B7">
        <w:rPr>
          <w:i/>
          <w:color w:val="000000" w:themeColor="text1"/>
        </w:rPr>
        <w:t xml:space="preserve"> del Ley </w:t>
      </w:r>
      <w:r>
        <w:rPr>
          <w:i/>
          <w:color w:val="000000" w:themeColor="text1"/>
        </w:rPr>
        <w:t xml:space="preserve">presentado se enmarca dentro de las reglas indicadas con un déficit fiscal de la Administración Central equivalente al 1,5% del PIB, </w:t>
      </w:r>
      <w:r w:rsidR="007403B2">
        <w:rPr>
          <w:i/>
          <w:color w:val="000000" w:themeColor="text1"/>
        </w:rPr>
        <w:t>una</w:t>
      </w:r>
      <w:r>
        <w:rPr>
          <w:i/>
          <w:color w:val="000000" w:themeColor="text1"/>
        </w:rPr>
        <w:t xml:space="preserve"> tasa de crecimiento del gasto corriente primario del sector público </w:t>
      </w:r>
      <w:r w:rsidR="007403B2" w:rsidRPr="00EE4701">
        <w:rPr>
          <w:i/>
          <w:color w:val="auto"/>
        </w:rPr>
        <w:t>del</w:t>
      </w:r>
      <w:r w:rsidRPr="00EE4701">
        <w:rPr>
          <w:i/>
          <w:color w:val="auto"/>
        </w:rPr>
        <w:t xml:space="preserve"> 5,4 </w:t>
      </w:r>
      <w:r w:rsidR="007403B2">
        <w:rPr>
          <w:i/>
          <w:color w:val="000000" w:themeColor="text1"/>
        </w:rPr>
        <w:t>%</w:t>
      </w:r>
      <w:r>
        <w:rPr>
          <w:i/>
          <w:color w:val="000000" w:themeColor="text1"/>
        </w:rPr>
        <w:t xml:space="preserve"> y </w:t>
      </w:r>
      <w:r w:rsidR="007403B2">
        <w:rPr>
          <w:i/>
          <w:color w:val="000000" w:themeColor="text1"/>
        </w:rPr>
        <w:t xml:space="preserve">no contempla aumento salarial. </w:t>
      </w:r>
    </w:p>
    <w:p w:rsidR="00EE4701" w:rsidRDefault="00EE4701" w:rsidP="00EE4701">
      <w:pPr>
        <w:suppressAutoHyphens/>
        <w:jc w:val="both"/>
        <w:rPr>
          <w:i/>
          <w:color w:val="000000" w:themeColor="text1"/>
        </w:rPr>
      </w:pPr>
    </w:p>
    <w:p w:rsidR="00DE3FDB" w:rsidRDefault="00DE3FDB" w:rsidP="00DE3FDB">
      <w:pPr>
        <w:suppressAutoHyphens/>
        <w:ind w:firstLine="1985"/>
        <w:jc w:val="both"/>
        <w:rPr>
          <w:i/>
          <w:color w:val="000000" w:themeColor="text1"/>
        </w:rPr>
      </w:pPr>
      <w:r>
        <w:rPr>
          <w:i/>
          <w:color w:val="000000" w:themeColor="text1"/>
        </w:rPr>
        <w:t>O</w:t>
      </w:r>
      <w:r w:rsidR="000F665F">
        <w:rPr>
          <w:i/>
          <w:color w:val="000000" w:themeColor="text1"/>
        </w:rPr>
        <w:t>tra</w:t>
      </w:r>
      <w:r w:rsidR="007340A1">
        <w:rPr>
          <w:i/>
          <w:color w:val="000000" w:themeColor="text1"/>
        </w:rPr>
        <w:t xml:space="preserve"> regla importante es la establecida en el </w:t>
      </w:r>
      <w:r>
        <w:rPr>
          <w:i/>
          <w:color w:val="000000" w:themeColor="text1"/>
        </w:rPr>
        <w:t>artículo 10</w:t>
      </w:r>
      <w:r w:rsidR="000F665F">
        <w:rPr>
          <w:i/>
          <w:color w:val="000000" w:themeColor="text1"/>
        </w:rPr>
        <w:t xml:space="preserve">, donde se manifiesta que </w:t>
      </w:r>
      <w:r>
        <w:rPr>
          <w:i/>
          <w:color w:val="000000" w:themeColor="text1"/>
        </w:rPr>
        <w:t>la programación fiscal plurianual</w:t>
      </w:r>
      <w:r w:rsidR="000F665F">
        <w:rPr>
          <w:i/>
          <w:color w:val="000000" w:themeColor="text1"/>
        </w:rPr>
        <w:t xml:space="preserve"> de tres años de la Administración Central </w:t>
      </w:r>
      <w:r>
        <w:rPr>
          <w:i/>
          <w:color w:val="000000" w:themeColor="text1"/>
        </w:rPr>
        <w:t xml:space="preserve">no </w:t>
      </w:r>
      <w:r w:rsidR="000F665F">
        <w:rPr>
          <w:i/>
          <w:color w:val="000000" w:themeColor="text1"/>
        </w:rPr>
        <w:t xml:space="preserve">puede superar un </w:t>
      </w:r>
      <w:r>
        <w:rPr>
          <w:i/>
          <w:color w:val="000000" w:themeColor="text1"/>
        </w:rPr>
        <w:t>d</w:t>
      </w:r>
      <w:r w:rsidR="000F665F">
        <w:rPr>
          <w:i/>
          <w:color w:val="000000" w:themeColor="text1"/>
        </w:rPr>
        <w:t xml:space="preserve">éficit promedio del 1% del PIB y de acuerdo a esto, </w:t>
      </w:r>
      <w:r w:rsidR="007340A1">
        <w:rPr>
          <w:i/>
          <w:color w:val="000000" w:themeColor="text1"/>
        </w:rPr>
        <w:t>l</w:t>
      </w:r>
      <w:r>
        <w:rPr>
          <w:i/>
          <w:color w:val="000000" w:themeColor="text1"/>
        </w:rPr>
        <w:t xml:space="preserve">a programación fiscal plurianual 2017-2019 </w:t>
      </w:r>
      <w:r w:rsidR="007340A1">
        <w:rPr>
          <w:i/>
          <w:color w:val="000000" w:themeColor="text1"/>
        </w:rPr>
        <w:t>presenta</w:t>
      </w:r>
      <w:r>
        <w:rPr>
          <w:i/>
          <w:color w:val="000000" w:themeColor="text1"/>
        </w:rPr>
        <w:t xml:space="preserve"> </w:t>
      </w:r>
      <w:r w:rsidR="007340A1">
        <w:rPr>
          <w:i/>
          <w:color w:val="000000" w:themeColor="text1"/>
        </w:rPr>
        <w:t>un</w:t>
      </w:r>
      <w:r>
        <w:rPr>
          <w:i/>
          <w:color w:val="000000" w:themeColor="text1"/>
        </w:rPr>
        <w:t xml:space="preserve"> déficit promedio </w:t>
      </w:r>
      <w:r w:rsidR="000F665F">
        <w:rPr>
          <w:i/>
          <w:color w:val="000000" w:themeColor="text1"/>
        </w:rPr>
        <w:t>del orden</w:t>
      </w:r>
      <w:r>
        <w:rPr>
          <w:i/>
          <w:color w:val="000000" w:themeColor="text1"/>
        </w:rPr>
        <w:t xml:space="preserve"> del </w:t>
      </w:r>
      <w:r w:rsidR="007340A1">
        <w:rPr>
          <w:i/>
          <w:color w:val="000000" w:themeColor="text1"/>
        </w:rPr>
        <w:t>1</w:t>
      </w:r>
      <w:r>
        <w:rPr>
          <w:i/>
          <w:color w:val="000000" w:themeColor="text1"/>
        </w:rPr>
        <w:t>% del PIB</w:t>
      </w:r>
      <w:r w:rsidR="000F665F">
        <w:rPr>
          <w:i/>
          <w:color w:val="000000" w:themeColor="text1"/>
        </w:rPr>
        <w:t>, conforme con esta regla</w:t>
      </w:r>
      <w:r>
        <w:rPr>
          <w:i/>
          <w:color w:val="000000" w:themeColor="text1"/>
        </w:rPr>
        <w:t>.</w:t>
      </w:r>
    </w:p>
    <w:p w:rsidR="00EE4701" w:rsidRDefault="00EE4701">
      <w:pPr>
        <w:spacing w:after="200" w:line="276" w:lineRule="auto"/>
        <w:rPr>
          <w:i/>
          <w:color w:val="000000" w:themeColor="text1"/>
        </w:rPr>
      </w:pPr>
      <w:r>
        <w:rPr>
          <w:i/>
          <w:color w:val="000000" w:themeColor="text1"/>
        </w:rPr>
        <w:br w:type="page"/>
      </w:r>
    </w:p>
    <w:p w:rsidR="00DF02D2" w:rsidRPr="00484D7D" w:rsidRDefault="00DF02D2" w:rsidP="00DF02D2">
      <w:pPr>
        <w:jc w:val="center"/>
        <w:rPr>
          <w:i/>
          <w:color w:val="000000" w:themeColor="text1"/>
          <w:lang w:val="es-ES_tradnl"/>
        </w:rPr>
      </w:pPr>
      <w:r>
        <w:rPr>
          <w:i/>
          <w:color w:val="000000" w:themeColor="text1"/>
          <w:lang w:val="es-ES_tradnl"/>
        </w:rPr>
        <w:lastRenderedPageBreak/>
        <w:t>-9-</w:t>
      </w:r>
    </w:p>
    <w:p w:rsidR="00DF02D2" w:rsidRDefault="00DF02D2" w:rsidP="00DF02D2">
      <w:pPr>
        <w:jc w:val="both"/>
        <w:rPr>
          <w:i/>
          <w:color w:val="000000" w:themeColor="text1"/>
          <w:lang w:val="es-ES_tradnl"/>
        </w:rPr>
      </w:pPr>
    </w:p>
    <w:p w:rsidR="00DF02D2" w:rsidRPr="00484D7D" w:rsidRDefault="00DF02D2" w:rsidP="00DF02D2">
      <w:pPr>
        <w:jc w:val="both"/>
        <w:rPr>
          <w:i/>
          <w:color w:val="000000" w:themeColor="text1"/>
          <w:lang w:val="es-ES_tradnl"/>
        </w:rPr>
      </w:pPr>
    </w:p>
    <w:p w:rsidR="00DF02D2" w:rsidRPr="00484D7D" w:rsidRDefault="00DF02D2" w:rsidP="00DF02D2">
      <w:pPr>
        <w:jc w:val="both"/>
        <w:rPr>
          <w:i/>
          <w:color w:val="000000" w:themeColor="text1"/>
          <w:lang w:val="es-ES_tradnl"/>
        </w:rPr>
      </w:pPr>
    </w:p>
    <w:p w:rsidR="00DF02D2" w:rsidRPr="00484D7D" w:rsidRDefault="00DF02D2" w:rsidP="00DF02D2">
      <w:pPr>
        <w:jc w:val="both"/>
        <w:rPr>
          <w:i/>
          <w:color w:val="000000" w:themeColor="text1"/>
          <w:lang w:val="es-ES_tradnl"/>
        </w:rPr>
      </w:pPr>
      <w:r w:rsidRPr="00484D7D">
        <w:rPr>
          <w:i/>
          <w:color w:val="000000" w:themeColor="text1"/>
          <w:lang w:val="es-ES_tradnl"/>
        </w:rPr>
        <w:t>N°________</w:t>
      </w:r>
    </w:p>
    <w:p w:rsidR="00DF02D2" w:rsidRPr="00484D7D" w:rsidRDefault="00DF02D2" w:rsidP="00DF02D2">
      <w:pPr>
        <w:jc w:val="both"/>
        <w:rPr>
          <w:i/>
          <w:color w:val="000000" w:themeColor="text1"/>
          <w:lang w:val="es-ES_tradnl"/>
        </w:rPr>
      </w:pPr>
    </w:p>
    <w:p w:rsidR="00DE3FDB" w:rsidRDefault="00DE3FDB" w:rsidP="00EE4701">
      <w:pPr>
        <w:suppressAutoHyphens/>
        <w:jc w:val="both"/>
        <w:rPr>
          <w:i/>
          <w:color w:val="000000" w:themeColor="text1"/>
        </w:rPr>
      </w:pPr>
    </w:p>
    <w:p w:rsidR="00DE3FDB" w:rsidRDefault="00940A66" w:rsidP="00DE3FDB">
      <w:pPr>
        <w:suppressAutoHyphens/>
        <w:ind w:firstLine="1985"/>
        <w:jc w:val="both"/>
        <w:rPr>
          <w:i/>
          <w:color w:val="000000" w:themeColor="text1"/>
        </w:rPr>
      </w:pPr>
      <w:r>
        <w:rPr>
          <w:i/>
          <w:color w:val="000000" w:themeColor="text1"/>
        </w:rPr>
        <w:t>Por tanto, el</w:t>
      </w:r>
      <w:r w:rsidR="000F665F">
        <w:rPr>
          <w:i/>
          <w:color w:val="000000" w:themeColor="text1"/>
        </w:rPr>
        <w:t xml:space="preserve"> presente </w:t>
      </w:r>
      <w:r w:rsidR="00DE3FDB">
        <w:rPr>
          <w:i/>
          <w:color w:val="000000" w:themeColor="text1"/>
        </w:rPr>
        <w:t xml:space="preserve">Proyecto de Ley de Presupuesto </w:t>
      </w:r>
      <w:r>
        <w:rPr>
          <w:i/>
          <w:color w:val="000000" w:themeColor="text1"/>
        </w:rPr>
        <w:t xml:space="preserve">General </w:t>
      </w:r>
      <w:r w:rsidR="00DE3FDB">
        <w:rPr>
          <w:i/>
          <w:color w:val="000000" w:themeColor="text1"/>
        </w:rPr>
        <w:t>para el Ejercicio Fiscal 2017</w:t>
      </w:r>
      <w:r w:rsidR="00270F4A">
        <w:rPr>
          <w:i/>
          <w:color w:val="000000" w:themeColor="text1"/>
        </w:rPr>
        <w:t>,</w:t>
      </w:r>
      <w:r w:rsidR="00DE3FDB">
        <w:rPr>
          <w:i/>
          <w:color w:val="000000" w:themeColor="text1"/>
        </w:rPr>
        <w:t xml:space="preserve"> presentado por el Poder Ejecutivo</w:t>
      </w:r>
      <w:r w:rsidR="00270F4A">
        <w:rPr>
          <w:i/>
          <w:color w:val="000000" w:themeColor="text1"/>
        </w:rPr>
        <w:t>,</w:t>
      </w:r>
      <w:r w:rsidR="00DE3FDB">
        <w:rPr>
          <w:i/>
          <w:color w:val="000000" w:themeColor="text1"/>
        </w:rPr>
        <w:t xml:space="preserve"> cumple plenamente con lo dispuesto </w:t>
      </w:r>
      <w:r w:rsidR="000F665F">
        <w:rPr>
          <w:i/>
          <w:color w:val="000000" w:themeColor="text1"/>
        </w:rPr>
        <w:t xml:space="preserve">en </w:t>
      </w:r>
      <w:r w:rsidR="00DE3FDB">
        <w:rPr>
          <w:i/>
          <w:color w:val="000000" w:themeColor="text1"/>
        </w:rPr>
        <w:t xml:space="preserve">la Ley de Responsabilidad Fiscal, </w:t>
      </w:r>
      <w:r w:rsidR="00270F4A">
        <w:rPr>
          <w:i/>
          <w:color w:val="000000" w:themeColor="text1"/>
        </w:rPr>
        <w:t>en</w:t>
      </w:r>
      <w:r w:rsidR="00DE3FDB">
        <w:rPr>
          <w:i/>
          <w:color w:val="000000" w:themeColor="text1"/>
        </w:rPr>
        <w:t xml:space="preserve"> el convencimiento de que la sostenibilidad de las finanzas públicas en el mediano plazo debe ser el principio rector del diseño, aplicación y evaluación de la política fiscal del país.</w:t>
      </w:r>
    </w:p>
    <w:p w:rsidR="00200049" w:rsidRDefault="00200049" w:rsidP="00270F4A">
      <w:pPr>
        <w:suppressAutoHyphens/>
        <w:jc w:val="both"/>
        <w:rPr>
          <w:i/>
          <w:color w:val="000000" w:themeColor="text1"/>
        </w:rPr>
      </w:pPr>
    </w:p>
    <w:p w:rsidR="00200049" w:rsidRDefault="00200049" w:rsidP="00DE3FDB">
      <w:pPr>
        <w:suppressAutoHyphens/>
        <w:ind w:firstLine="1985"/>
        <w:jc w:val="both"/>
        <w:rPr>
          <w:i/>
          <w:color w:val="000000" w:themeColor="text1"/>
        </w:rPr>
      </w:pPr>
      <w:r>
        <w:rPr>
          <w:i/>
          <w:color w:val="000000" w:themeColor="text1"/>
        </w:rPr>
        <w:t xml:space="preserve">Asimismo, es importante resaltar que la Ley de Responsabilidad Fiscal ha sido plenamente cumplida en el </w:t>
      </w:r>
      <w:r w:rsidR="00952E23">
        <w:rPr>
          <w:i/>
          <w:color w:val="000000" w:themeColor="text1"/>
        </w:rPr>
        <w:t xml:space="preserve">Ejercicio Fiscal </w:t>
      </w:r>
      <w:r w:rsidR="00470753">
        <w:rPr>
          <w:i/>
          <w:color w:val="000000" w:themeColor="text1"/>
        </w:rPr>
        <w:t>2016</w:t>
      </w:r>
      <w:r>
        <w:rPr>
          <w:i/>
          <w:color w:val="000000" w:themeColor="text1"/>
        </w:rPr>
        <w:t xml:space="preserve">, en el estricto rigor de lo </w:t>
      </w:r>
      <w:r w:rsidR="00470753">
        <w:rPr>
          <w:i/>
          <w:color w:val="000000" w:themeColor="text1"/>
        </w:rPr>
        <w:t>establecido en el citado Art</w:t>
      </w:r>
      <w:r w:rsidR="00952E23">
        <w:rPr>
          <w:i/>
          <w:color w:val="000000" w:themeColor="text1"/>
        </w:rPr>
        <w:t>ículo</w:t>
      </w:r>
      <w:r>
        <w:rPr>
          <w:i/>
          <w:color w:val="000000" w:themeColor="text1"/>
        </w:rPr>
        <w:t xml:space="preserve"> 7</w:t>
      </w:r>
      <w:r w:rsidR="00952E23">
        <w:rPr>
          <w:i/>
          <w:color w:val="000000" w:themeColor="text1"/>
        </w:rPr>
        <w:t>°</w:t>
      </w:r>
      <w:r>
        <w:rPr>
          <w:i/>
          <w:color w:val="000000" w:themeColor="text1"/>
        </w:rPr>
        <w:t xml:space="preserve"> (Ley </w:t>
      </w:r>
      <w:r w:rsidRPr="003E66E8">
        <w:rPr>
          <w:i/>
          <w:color w:val="000000" w:themeColor="text1"/>
        </w:rPr>
        <w:t>Nº 5098</w:t>
      </w:r>
      <w:r>
        <w:rPr>
          <w:i/>
          <w:color w:val="000000" w:themeColor="text1"/>
        </w:rPr>
        <w:t>/2013).</w:t>
      </w:r>
    </w:p>
    <w:p w:rsidR="00DE3FDB" w:rsidRDefault="00DE3FDB" w:rsidP="00270F4A">
      <w:pPr>
        <w:suppressAutoHyphens/>
        <w:jc w:val="both"/>
        <w:rPr>
          <w:i/>
          <w:color w:val="000000" w:themeColor="text1"/>
        </w:rPr>
      </w:pPr>
    </w:p>
    <w:p w:rsidR="00317ABC" w:rsidRPr="00317ABC" w:rsidRDefault="00317ABC" w:rsidP="00317ABC">
      <w:pPr>
        <w:numPr>
          <w:ilvl w:val="0"/>
          <w:numId w:val="1"/>
        </w:numPr>
        <w:suppressAutoHyphens/>
        <w:jc w:val="both"/>
        <w:rPr>
          <w:b/>
          <w:i/>
          <w:color w:val="000000" w:themeColor="text1"/>
        </w:rPr>
      </w:pPr>
      <w:r w:rsidRPr="00317ABC">
        <w:rPr>
          <w:b/>
          <w:i/>
          <w:color w:val="000000" w:themeColor="text1"/>
        </w:rPr>
        <w:t>Estimación de Ingresos</w:t>
      </w:r>
    </w:p>
    <w:p w:rsidR="00317ABC" w:rsidRPr="009729CE" w:rsidRDefault="00317ABC" w:rsidP="00317ABC">
      <w:pPr>
        <w:suppressAutoHyphens/>
        <w:jc w:val="both"/>
        <w:rPr>
          <w:i/>
          <w:color w:val="000000" w:themeColor="text1"/>
        </w:rPr>
      </w:pPr>
    </w:p>
    <w:p w:rsidR="00317ABC" w:rsidRPr="009729CE" w:rsidRDefault="00317ABC" w:rsidP="00317ABC">
      <w:pPr>
        <w:suppressAutoHyphens/>
        <w:ind w:firstLine="1985"/>
        <w:jc w:val="both"/>
        <w:rPr>
          <w:i/>
          <w:color w:val="auto"/>
          <w:lang w:val="es-MX"/>
        </w:rPr>
      </w:pPr>
      <w:r w:rsidRPr="00317ABC">
        <w:rPr>
          <w:i/>
          <w:color w:val="000000" w:themeColor="text1"/>
          <w:lang w:val="es-MX"/>
        </w:rPr>
        <w:t xml:space="preserve">El Proyecto de Presupuesto General de la Nación que se eleva a consideración del Honorable Congreso Nacional incorpora un ingreso total de </w:t>
      </w:r>
      <w:r w:rsidR="00952E23">
        <w:rPr>
          <w:i/>
          <w:color w:val="000000" w:themeColor="text1"/>
          <w:lang w:val="es-MX"/>
        </w:rPr>
        <w:t>₲</w:t>
      </w:r>
      <w:r w:rsidRPr="009729CE">
        <w:rPr>
          <w:i/>
          <w:color w:val="auto"/>
          <w:lang w:val="es-MX"/>
        </w:rPr>
        <w:t xml:space="preserve"> 69,</w:t>
      </w:r>
      <w:r w:rsidR="007D242E" w:rsidRPr="009729CE">
        <w:rPr>
          <w:i/>
          <w:color w:val="auto"/>
          <w:lang w:val="es-MX"/>
        </w:rPr>
        <w:t xml:space="preserve">2 </w:t>
      </w:r>
      <w:r w:rsidRPr="009729CE">
        <w:rPr>
          <w:i/>
          <w:color w:val="auto"/>
          <w:lang w:val="es-MX"/>
        </w:rPr>
        <w:t xml:space="preserve">billones, que representa un aumento del </w:t>
      </w:r>
      <w:r w:rsidRPr="009729CE">
        <w:rPr>
          <w:i/>
          <w:color w:val="auto"/>
        </w:rPr>
        <w:t>4</w:t>
      </w:r>
      <w:r w:rsidRPr="009729CE">
        <w:rPr>
          <w:i/>
          <w:color w:val="auto"/>
          <w:lang w:val="es-MX"/>
        </w:rPr>
        <w:t>,</w:t>
      </w:r>
      <w:r w:rsidR="00E26409" w:rsidRPr="009729CE">
        <w:rPr>
          <w:i/>
          <w:color w:val="auto"/>
          <w:lang w:val="es-MX"/>
        </w:rPr>
        <w:t>2</w:t>
      </w:r>
      <w:r w:rsidRPr="009729CE">
        <w:rPr>
          <w:i/>
          <w:color w:val="auto"/>
          <w:lang w:val="es-MX"/>
        </w:rPr>
        <w:t>% con relación al nivel de ingresos aprobados en el Presupuesto correspondiente al Ejercicio Fiscal 2016.</w:t>
      </w:r>
    </w:p>
    <w:p w:rsidR="00317ABC" w:rsidRPr="009729CE" w:rsidRDefault="00317ABC" w:rsidP="00317ABC">
      <w:pPr>
        <w:suppressAutoHyphens/>
        <w:jc w:val="both"/>
        <w:rPr>
          <w:i/>
          <w:color w:val="auto"/>
          <w:lang w:val="es-MX"/>
        </w:rPr>
      </w:pPr>
    </w:p>
    <w:p w:rsidR="00317ABC" w:rsidRPr="009729CE" w:rsidRDefault="00317ABC" w:rsidP="00317ABC">
      <w:pPr>
        <w:suppressAutoHyphens/>
        <w:ind w:firstLine="1985"/>
        <w:jc w:val="both"/>
        <w:rPr>
          <w:i/>
          <w:color w:val="auto"/>
          <w:lang w:val="es-MX"/>
        </w:rPr>
      </w:pPr>
      <w:r w:rsidRPr="009729CE">
        <w:rPr>
          <w:i/>
          <w:color w:val="auto"/>
          <w:lang w:val="es-MX"/>
        </w:rPr>
        <w:t xml:space="preserve">De este ingreso total presupuestado, la suma de </w:t>
      </w:r>
      <w:r w:rsidR="00855A64">
        <w:rPr>
          <w:i/>
          <w:color w:val="auto"/>
          <w:lang w:val="es-MX"/>
        </w:rPr>
        <w:t>₲</w:t>
      </w:r>
      <w:r w:rsidRPr="009729CE">
        <w:rPr>
          <w:i/>
          <w:color w:val="auto"/>
          <w:lang w:val="es-MX"/>
        </w:rPr>
        <w:t xml:space="preserve"> 39,2 billones corresponden a la Administración Central, lo que equivale a un incremento del </w:t>
      </w:r>
      <w:r w:rsidRPr="009729CE">
        <w:rPr>
          <w:i/>
          <w:color w:val="auto"/>
        </w:rPr>
        <w:t>2,3</w:t>
      </w:r>
      <w:r w:rsidRPr="009729CE">
        <w:rPr>
          <w:i/>
          <w:color w:val="auto"/>
          <w:lang w:val="es-MX"/>
        </w:rPr>
        <w:t>% comparado con el Presupuesto aprobado para el año 2016.</w:t>
      </w:r>
    </w:p>
    <w:p w:rsidR="00317ABC" w:rsidRPr="009729CE" w:rsidRDefault="00317ABC" w:rsidP="00317ABC">
      <w:pPr>
        <w:suppressAutoHyphens/>
        <w:jc w:val="both"/>
        <w:rPr>
          <w:i/>
          <w:color w:val="auto"/>
          <w:lang w:val="es-MX"/>
        </w:rPr>
      </w:pPr>
    </w:p>
    <w:p w:rsidR="00317ABC" w:rsidRPr="009729CE" w:rsidRDefault="00317ABC" w:rsidP="00317ABC">
      <w:pPr>
        <w:suppressAutoHyphens/>
        <w:ind w:firstLine="1985"/>
        <w:jc w:val="both"/>
        <w:rPr>
          <w:i/>
          <w:color w:val="auto"/>
        </w:rPr>
      </w:pPr>
      <w:r w:rsidRPr="009729CE">
        <w:rPr>
          <w:i/>
          <w:color w:val="auto"/>
          <w:lang w:val="es-MX"/>
        </w:rPr>
        <w:t xml:space="preserve">En cuanto a las Entidades Descentralizadas, de acuerdo a las proyecciones estimadas, el Proyecto de Presupuesto para el Ejercicio Fiscal 2017 incorpora ingresos fiscales por un total de </w:t>
      </w:r>
      <w:r w:rsidR="00855A64">
        <w:rPr>
          <w:i/>
          <w:color w:val="auto"/>
          <w:lang w:val="es-MX"/>
        </w:rPr>
        <w:t>₲</w:t>
      </w:r>
      <w:r w:rsidRPr="009729CE">
        <w:rPr>
          <w:i/>
          <w:color w:val="auto"/>
          <w:lang w:val="es-MX"/>
        </w:rPr>
        <w:t xml:space="preserve"> 30,0 billones, representando un incremento del </w:t>
      </w:r>
      <w:r w:rsidRPr="009729CE">
        <w:rPr>
          <w:i/>
          <w:color w:val="auto"/>
        </w:rPr>
        <w:t>6</w:t>
      </w:r>
      <w:r w:rsidRPr="009729CE">
        <w:rPr>
          <w:i/>
          <w:color w:val="auto"/>
          <w:lang w:val="es-MX"/>
        </w:rPr>
        <w:t>,6</w:t>
      </w:r>
      <w:r w:rsidRPr="009729CE">
        <w:rPr>
          <w:i/>
          <w:color w:val="auto"/>
        </w:rPr>
        <w:t xml:space="preserve">% con relación al Presupuesto </w:t>
      </w:r>
      <w:r w:rsidR="00952E23">
        <w:rPr>
          <w:i/>
          <w:color w:val="auto"/>
        </w:rPr>
        <w:t>a</w:t>
      </w:r>
      <w:r w:rsidRPr="009729CE">
        <w:rPr>
          <w:i/>
          <w:color w:val="auto"/>
        </w:rPr>
        <w:t>probado en el año 2016.</w:t>
      </w:r>
    </w:p>
    <w:p w:rsidR="00317ABC" w:rsidRPr="009729CE" w:rsidRDefault="00317ABC" w:rsidP="009729CE">
      <w:pPr>
        <w:suppressAutoHyphens/>
        <w:jc w:val="both"/>
        <w:rPr>
          <w:i/>
          <w:color w:val="auto"/>
          <w:lang w:val="es-MX"/>
        </w:rPr>
      </w:pPr>
    </w:p>
    <w:p w:rsidR="009729CE" w:rsidRDefault="00317ABC" w:rsidP="00317ABC">
      <w:pPr>
        <w:suppressAutoHyphens/>
        <w:ind w:firstLine="1985"/>
        <w:jc w:val="both"/>
        <w:rPr>
          <w:i/>
          <w:color w:val="000000" w:themeColor="text1"/>
          <w:lang w:val="es-MX"/>
        </w:rPr>
      </w:pPr>
      <w:r w:rsidRPr="009729CE">
        <w:rPr>
          <w:i/>
          <w:color w:val="auto"/>
          <w:lang w:val="es-MX"/>
        </w:rPr>
        <w:t xml:space="preserve">La estimación de ingresos tributarios del Proyecto de Presupuesto para el Ejercicio Fiscal 2017 alcanza la suma de </w:t>
      </w:r>
      <w:r w:rsidR="00855A64">
        <w:rPr>
          <w:i/>
          <w:color w:val="auto"/>
          <w:lang w:val="es-MX"/>
        </w:rPr>
        <w:t>₲</w:t>
      </w:r>
      <w:r w:rsidRPr="009729CE">
        <w:rPr>
          <w:i/>
          <w:color w:val="auto"/>
          <w:lang w:val="es-MX"/>
        </w:rPr>
        <w:t xml:space="preserve"> </w:t>
      </w:r>
      <w:r w:rsidR="007D242E" w:rsidRPr="009729CE">
        <w:rPr>
          <w:i/>
          <w:color w:val="auto"/>
          <w:lang w:val="es-MX"/>
        </w:rPr>
        <w:t>20</w:t>
      </w:r>
      <w:r w:rsidRPr="009729CE">
        <w:rPr>
          <w:i/>
          <w:color w:val="auto"/>
          <w:lang w:val="es-MX"/>
        </w:rPr>
        <w:t>,</w:t>
      </w:r>
      <w:r w:rsidR="007D242E" w:rsidRPr="009729CE">
        <w:rPr>
          <w:i/>
          <w:color w:val="auto"/>
          <w:lang w:val="es-MX"/>
        </w:rPr>
        <w:t>9</w:t>
      </w:r>
      <w:r w:rsidRPr="009729CE">
        <w:rPr>
          <w:i/>
          <w:color w:val="auto"/>
          <w:lang w:val="es-MX"/>
        </w:rPr>
        <w:t xml:space="preserve"> billones, equivalente a una variación del 9,</w:t>
      </w:r>
      <w:r w:rsidR="007D242E" w:rsidRPr="009729CE">
        <w:rPr>
          <w:i/>
          <w:color w:val="auto"/>
          <w:lang w:val="es-MX"/>
        </w:rPr>
        <w:t>0</w:t>
      </w:r>
      <w:r w:rsidRPr="009729CE">
        <w:rPr>
          <w:i/>
          <w:color w:val="auto"/>
          <w:lang w:val="es-MX"/>
        </w:rPr>
        <w:t xml:space="preserve">% con respecto a la proyección de cierre del año 2016, que se estima </w:t>
      </w:r>
      <w:r w:rsidRPr="00317ABC">
        <w:rPr>
          <w:i/>
          <w:color w:val="000000" w:themeColor="text1"/>
          <w:lang w:val="es-MX"/>
        </w:rPr>
        <w:t xml:space="preserve">en </w:t>
      </w:r>
      <w:r w:rsidR="00855A64">
        <w:rPr>
          <w:i/>
          <w:color w:val="000000" w:themeColor="text1"/>
          <w:lang w:val="es-MX"/>
        </w:rPr>
        <w:t>₲</w:t>
      </w:r>
      <w:r w:rsidRPr="00317ABC">
        <w:rPr>
          <w:i/>
          <w:color w:val="000000" w:themeColor="text1"/>
          <w:lang w:val="es-MX"/>
        </w:rPr>
        <w:t xml:space="preserve"> 19,2 billones. Las recaudaciones provenientes del pago de tributos son de suma importancia, ya que representan la principal fuente de financiamiento de la Administración Central.</w:t>
      </w:r>
    </w:p>
    <w:p w:rsidR="009729CE" w:rsidRDefault="009729CE">
      <w:pPr>
        <w:spacing w:after="200" w:line="276" w:lineRule="auto"/>
        <w:rPr>
          <w:i/>
          <w:color w:val="000000" w:themeColor="text1"/>
          <w:lang w:val="es-MX"/>
        </w:rPr>
      </w:pPr>
      <w:r>
        <w:rPr>
          <w:i/>
          <w:color w:val="000000" w:themeColor="text1"/>
          <w:lang w:val="es-MX"/>
        </w:rPr>
        <w:br w:type="page"/>
      </w:r>
    </w:p>
    <w:p w:rsidR="009729CE" w:rsidRPr="00484D7D" w:rsidRDefault="009729CE" w:rsidP="009729CE">
      <w:pPr>
        <w:jc w:val="center"/>
        <w:rPr>
          <w:i/>
          <w:color w:val="000000" w:themeColor="text1"/>
          <w:lang w:val="es-ES_tradnl"/>
        </w:rPr>
      </w:pPr>
      <w:r>
        <w:rPr>
          <w:i/>
          <w:color w:val="000000" w:themeColor="text1"/>
          <w:lang w:val="es-ES_tradnl"/>
        </w:rPr>
        <w:lastRenderedPageBreak/>
        <w:t>-10-</w:t>
      </w:r>
    </w:p>
    <w:p w:rsidR="009729CE" w:rsidRDefault="009729CE" w:rsidP="009729CE">
      <w:pPr>
        <w:jc w:val="both"/>
        <w:rPr>
          <w:i/>
          <w:color w:val="000000" w:themeColor="text1"/>
          <w:lang w:val="es-ES_tradnl"/>
        </w:rPr>
      </w:pPr>
    </w:p>
    <w:p w:rsidR="009729CE" w:rsidRPr="00484D7D" w:rsidRDefault="009729CE" w:rsidP="009729CE">
      <w:pPr>
        <w:jc w:val="both"/>
        <w:rPr>
          <w:i/>
          <w:color w:val="000000" w:themeColor="text1"/>
          <w:lang w:val="es-ES_tradnl"/>
        </w:rPr>
      </w:pPr>
    </w:p>
    <w:p w:rsidR="009729CE" w:rsidRPr="00484D7D" w:rsidRDefault="009729CE" w:rsidP="009729CE">
      <w:pPr>
        <w:jc w:val="both"/>
        <w:rPr>
          <w:i/>
          <w:color w:val="000000" w:themeColor="text1"/>
          <w:lang w:val="es-ES_tradnl"/>
        </w:rPr>
      </w:pPr>
    </w:p>
    <w:p w:rsidR="009729CE" w:rsidRPr="00484D7D" w:rsidRDefault="009729CE" w:rsidP="009729CE">
      <w:pPr>
        <w:jc w:val="both"/>
        <w:rPr>
          <w:i/>
          <w:color w:val="000000" w:themeColor="text1"/>
          <w:lang w:val="es-ES_tradnl"/>
        </w:rPr>
      </w:pPr>
      <w:r w:rsidRPr="00484D7D">
        <w:rPr>
          <w:i/>
          <w:color w:val="000000" w:themeColor="text1"/>
          <w:lang w:val="es-ES_tradnl"/>
        </w:rPr>
        <w:t>N°________</w:t>
      </w:r>
    </w:p>
    <w:p w:rsidR="009729CE" w:rsidRPr="00484D7D" w:rsidRDefault="009729CE" w:rsidP="009729CE">
      <w:pPr>
        <w:jc w:val="both"/>
        <w:rPr>
          <w:i/>
          <w:color w:val="000000" w:themeColor="text1"/>
          <w:lang w:val="es-ES_tradnl"/>
        </w:rPr>
      </w:pPr>
    </w:p>
    <w:p w:rsidR="009729CE" w:rsidRPr="00484D7D" w:rsidRDefault="009729CE" w:rsidP="009729CE">
      <w:pPr>
        <w:jc w:val="both"/>
        <w:rPr>
          <w:i/>
          <w:color w:val="000000" w:themeColor="text1"/>
          <w:lang w:val="es-ES_tradnl"/>
        </w:rPr>
      </w:pPr>
    </w:p>
    <w:p w:rsidR="00317ABC" w:rsidRPr="00317ABC" w:rsidRDefault="00317ABC" w:rsidP="00317ABC">
      <w:pPr>
        <w:suppressAutoHyphens/>
        <w:ind w:firstLine="1985"/>
        <w:jc w:val="both"/>
        <w:rPr>
          <w:i/>
          <w:color w:val="000000" w:themeColor="text1"/>
          <w:lang w:val="es-MX"/>
        </w:rPr>
      </w:pPr>
      <w:r w:rsidRPr="00317ABC">
        <w:rPr>
          <w:i/>
          <w:color w:val="000000" w:themeColor="text1"/>
          <w:lang w:val="es-MX"/>
        </w:rPr>
        <w:t>Las estimaciones de los ingresos tributarios se elaboran sobre la base de la evolución de las principales variables macroeconómicas que tienen influencia en su comportamiento, como son el producto interno bruto, la inflación, el tipo de cambio, el nivel de las importaciones, entre otros. Asimismo, se toman en consideración los cambios en la estructura tributaria.</w:t>
      </w:r>
    </w:p>
    <w:p w:rsidR="00317ABC" w:rsidRPr="00317ABC" w:rsidRDefault="00317ABC" w:rsidP="00317ABC">
      <w:pPr>
        <w:suppressAutoHyphens/>
        <w:jc w:val="both"/>
        <w:rPr>
          <w:i/>
          <w:color w:val="000000" w:themeColor="text1"/>
          <w:lang w:val="es-MX"/>
        </w:rPr>
      </w:pPr>
    </w:p>
    <w:p w:rsidR="00317ABC" w:rsidRPr="00317ABC" w:rsidRDefault="00317ABC" w:rsidP="00317ABC">
      <w:pPr>
        <w:suppressAutoHyphens/>
        <w:ind w:firstLine="1985"/>
        <w:jc w:val="both"/>
        <w:rPr>
          <w:i/>
          <w:color w:val="auto"/>
          <w:lang w:val="es-MX"/>
        </w:rPr>
      </w:pPr>
      <w:r w:rsidRPr="00317ABC">
        <w:rPr>
          <w:i/>
          <w:color w:val="auto"/>
          <w:lang w:val="es-MX"/>
        </w:rPr>
        <w:t>Para el Ejercicio Fiscal 2017, de acuerdo a los análisis realizados, se prevé el siguiente comportamiento de las principales variables macroeconómicas:</w:t>
      </w:r>
    </w:p>
    <w:p w:rsidR="00317ABC" w:rsidRPr="00317ABC" w:rsidRDefault="00317ABC" w:rsidP="00317ABC">
      <w:pPr>
        <w:suppressAutoHyphens/>
        <w:jc w:val="both"/>
        <w:rPr>
          <w:i/>
          <w:color w:val="auto"/>
          <w:sz w:val="16"/>
          <w:szCs w:val="16"/>
          <w:lang w:val="es-MX"/>
        </w:rPr>
      </w:pPr>
    </w:p>
    <w:tbl>
      <w:tblPr>
        <w:tblW w:w="8889" w:type="dxa"/>
        <w:tblInd w:w="-5" w:type="dxa"/>
        <w:tblLook w:val="04A0" w:firstRow="1" w:lastRow="0" w:firstColumn="1" w:lastColumn="0" w:noHBand="0" w:noVBand="1"/>
      </w:tblPr>
      <w:tblGrid>
        <w:gridCol w:w="4083"/>
        <w:gridCol w:w="1630"/>
        <w:gridCol w:w="1587"/>
        <w:gridCol w:w="1589"/>
      </w:tblGrid>
      <w:tr w:rsidR="00317ABC" w:rsidRPr="00317ABC" w:rsidTr="00D77BD5">
        <w:trPr>
          <w:trHeight w:val="155"/>
        </w:trPr>
        <w:tc>
          <w:tcPr>
            <w:tcW w:w="8889" w:type="dxa"/>
            <w:gridSpan w:val="4"/>
            <w:tcBorders>
              <w:top w:val="single" w:sz="4" w:space="0" w:color="auto"/>
              <w:left w:val="single" w:sz="4" w:space="0" w:color="auto"/>
              <w:bottom w:val="single" w:sz="4" w:space="0" w:color="auto"/>
              <w:right w:val="single" w:sz="4" w:space="0" w:color="000000"/>
            </w:tcBorders>
            <w:noWrap/>
            <w:vAlign w:val="center"/>
            <w:hideMark/>
          </w:tcPr>
          <w:p w:rsidR="00317ABC" w:rsidRPr="00317ABC" w:rsidRDefault="00317ABC" w:rsidP="00317ABC">
            <w:pPr>
              <w:suppressAutoHyphens/>
              <w:jc w:val="center"/>
              <w:rPr>
                <w:b/>
                <w:bCs/>
                <w:i/>
                <w:color w:val="auto"/>
                <w:lang w:val="es-PY"/>
              </w:rPr>
            </w:pPr>
            <w:r w:rsidRPr="00317ABC">
              <w:rPr>
                <w:b/>
                <w:bCs/>
                <w:i/>
                <w:color w:val="auto"/>
                <w:lang w:val="es-PY"/>
              </w:rPr>
              <w:t>Principales Variables Macroeconómicas</w:t>
            </w:r>
          </w:p>
        </w:tc>
      </w:tr>
      <w:tr w:rsidR="00317ABC" w:rsidRPr="00317ABC" w:rsidTr="00D77BD5">
        <w:trPr>
          <w:trHeight w:val="265"/>
        </w:trPr>
        <w:tc>
          <w:tcPr>
            <w:tcW w:w="4083" w:type="dxa"/>
            <w:tcBorders>
              <w:top w:val="nil"/>
              <w:left w:val="single" w:sz="4" w:space="0" w:color="auto"/>
              <w:bottom w:val="single" w:sz="4" w:space="0" w:color="auto"/>
              <w:right w:val="single" w:sz="4" w:space="0" w:color="auto"/>
            </w:tcBorders>
            <w:noWrap/>
            <w:vAlign w:val="center"/>
            <w:hideMark/>
          </w:tcPr>
          <w:p w:rsidR="00317ABC" w:rsidRPr="00317ABC" w:rsidRDefault="00317ABC" w:rsidP="00317ABC">
            <w:pPr>
              <w:suppressAutoHyphens/>
              <w:jc w:val="center"/>
              <w:rPr>
                <w:b/>
                <w:bCs/>
                <w:i/>
                <w:color w:val="auto"/>
                <w:lang w:val="es-PY"/>
              </w:rPr>
            </w:pPr>
            <w:r w:rsidRPr="00317ABC">
              <w:rPr>
                <w:b/>
                <w:bCs/>
                <w:i/>
                <w:color w:val="auto"/>
                <w:lang w:val="es-PY"/>
              </w:rPr>
              <w:t>Conceptos</w:t>
            </w:r>
          </w:p>
        </w:tc>
        <w:tc>
          <w:tcPr>
            <w:tcW w:w="1630" w:type="dxa"/>
            <w:tcBorders>
              <w:top w:val="nil"/>
              <w:left w:val="nil"/>
              <w:bottom w:val="single" w:sz="4" w:space="0" w:color="auto"/>
              <w:right w:val="single" w:sz="4" w:space="0" w:color="auto"/>
            </w:tcBorders>
            <w:noWrap/>
            <w:vAlign w:val="center"/>
            <w:hideMark/>
          </w:tcPr>
          <w:p w:rsidR="00317ABC" w:rsidRPr="00317ABC" w:rsidRDefault="00317ABC" w:rsidP="00317ABC">
            <w:pPr>
              <w:suppressAutoHyphens/>
              <w:jc w:val="center"/>
              <w:rPr>
                <w:b/>
                <w:bCs/>
                <w:i/>
                <w:color w:val="auto"/>
                <w:lang w:val="es-PY"/>
              </w:rPr>
            </w:pPr>
            <w:r w:rsidRPr="00317ABC">
              <w:rPr>
                <w:b/>
                <w:bCs/>
                <w:i/>
                <w:color w:val="auto"/>
                <w:lang w:val="es-PY"/>
              </w:rPr>
              <w:t>2015</w:t>
            </w:r>
          </w:p>
        </w:tc>
        <w:tc>
          <w:tcPr>
            <w:tcW w:w="1587" w:type="dxa"/>
            <w:tcBorders>
              <w:top w:val="nil"/>
              <w:left w:val="nil"/>
              <w:bottom w:val="single" w:sz="4" w:space="0" w:color="auto"/>
              <w:right w:val="single" w:sz="4" w:space="0" w:color="auto"/>
            </w:tcBorders>
            <w:noWrap/>
            <w:vAlign w:val="center"/>
            <w:hideMark/>
          </w:tcPr>
          <w:p w:rsidR="00317ABC" w:rsidRPr="00317ABC" w:rsidRDefault="00317ABC" w:rsidP="00317ABC">
            <w:pPr>
              <w:suppressAutoHyphens/>
              <w:jc w:val="center"/>
              <w:rPr>
                <w:b/>
                <w:bCs/>
                <w:i/>
                <w:color w:val="auto"/>
                <w:lang w:val="es-PY"/>
              </w:rPr>
            </w:pPr>
            <w:r w:rsidRPr="00317ABC">
              <w:rPr>
                <w:b/>
                <w:bCs/>
                <w:i/>
                <w:color w:val="auto"/>
                <w:lang w:val="es-PY"/>
              </w:rPr>
              <w:t>2016</w:t>
            </w:r>
          </w:p>
        </w:tc>
        <w:tc>
          <w:tcPr>
            <w:tcW w:w="1589" w:type="dxa"/>
            <w:tcBorders>
              <w:top w:val="nil"/>
              <w:left w:val="nil"/>
              <w:bottom w:val="single" w:sz="4" w:space="0" w:color="auto"/>
              <w:right w:val="single" w:sz="4" w:space="0" w:color="auto"/>
            </w:tcBorders>
            <w:noWrap/>
            <w:vAlign w:val="center"/>
            <w:hideMark/>
          </w:tcPr>
          <w:p w:rsidR="00317ABC" w:rsidRPr="00317ABC" w:rsidRDefault="00317ABC" w:rsidP="00317ABC">
            <w:pPr>
              <w:suppressAutoHyphens/>
              <w:jc w:val="center"/>
              <w:rPr>
                <w:b/>
                <w:bCs/>
                <w:i/>
                <w:color w:val="auto"/>
                <w:lang w:val="es-PY"/>
              </w:rPr>
            </w:pPr>
            <w:r w:rsidRPr="00317ABC">
              <w:rPr>
                <w:b/>
                <w:bCs/>
                <w:i/>
                <w:color w:val="auto"/>
                <w:lang w:val="es-PY"/>
              </w:rPr>
              <w:t>2017</w:t>
            </w:r>
          </w:p>
        </w:tc>
      </w:tr>
      <w:tr w:rsidR="00317ABC" w:rsidRPr="00317ABC" w:rsidTr="00D77BD5">
        <w:trPr>
          <w:trHeight w:val="149"/>
        </w:trPr>
        <w:tc>
          <w:tcPr>
            <w:tcW w:w="4083" w:type="dxa"/>
            <w:tcBorders>
              <w:top w:val="nil"/>
              <w:left w:val="single" w:sz="4" w:space="0" w:color="auto"/>
              <w:bottom w:val="single" w:sz="4" w:space="0" w:color="auto"/>
              <w:right w:val="single" w:sz="4" w:space="0" w:color="auto"/>
            </w:tcBorders>
            <w:vAlign w:val="bottom"/>
            <w:hideMark/>
          </w:tcPr>
          <w:p w:rsidR="00317ABC" w:rsidRPr="00317ABC" w:rsidRDefault="00317ABC" w:rsidP="00317ABC">
            <w:pPr>
              <w:suppressAutoHyphens/>
              <w:jc w:val="both"/>
              <w:rPr>
                <w:i/>
                <w:color w:val="auto"/>
                <w:lang w:val="es-PY"/>
              </w:rPr>
            </w:pPr>
            <w:r w:rsidRPr="00317ABC">
              <w:rPr>
                <w:i/>
                <w:color w:val="auto"/>
                <w:lang w:val="es-PY"/>
              </w:rPr>
              <w:t>PIB nominal (miles de millones de G.)</w:t>
            </w:r>
            <w:r w:rsidRPr="00317ABC">
              <w:rPr>
                <w:i/>
                <w:color w:val="auto"/>
                <w:vertAlign w:val="superscript"/>
                <w:lang w:val="es-PY"/>
              </w:rPr>
              <w:t>1</w:t>
            </w:r>
          </w:p>
        </w:tc>
        <w:tc>
          <w:tcPr>
            <w:tcW w:w="1630" w:type="dxa"/>
            <w:tcBorders>
              <w:top w:val="nil"/>
              <w:left w:val="nil"/>
              <w:bottom w:val="single" w:sz="4" w:space="0" w:color="auto"/>
              <w:right w:val="single" w:sz="4" w:space="0" w:color="auto"/>
            </w:tcBorders>
            <w:noWrap/>
            <w:hideMark/>
          </w:tcPr>
          <w:p w:rsidR="00317ABC" w:rsidRPr="00317ABC" w:rsidRDefault="00317ABC" w:rsidP="00317ABC">
            <w:pPr>
              <w:jc w:val="center"/>
              <w:rPr>
                <w:i/>
                <w:color w:val="auto"/>
                <w:lang w:val="es-PY"/>
              </w:rPr>
            </w:pPr>
            <w:r w:rsidRPr="00317ABC">
              <w:rPr>
                <w:i/>
                <w:color w:val="auto"/>
                <w:lang w:val="es-PY"/>
              </w:rPr>
              <w:t>144.249</w:t>
            </w:r>
          </w:p>
        </w:tc>
        <w:tc>
          <w:tcPr>
            <w:tcW w:w="1587" w:type="dxa"/>
            <w:tcBorders>
              <w:top w:val="nil"/>
              <w:left w:val="nil"/>
              <w:bottom w:val="single" w:sz="4" w:space="0" w:color="auto"/>
              <w:right w:val="single" w:sz="4" w:space="0" w:color="auto"/>
            </w:tcBorders>
            <w:noWrap/>
            <w:hideMark/>
          </w:tcPr>
          <w:p w:rsidR="00317ABC" w:rsidRPr="00317ABC" w:rsidRDefault="00317ABC" w:rsidP="00317ABC">
            <w:pPr>
              <w:jc w:val="center"/>
              <w:rPr>
                <w:i/>
                <w:color w:val="auto"/>
                <w:lang w:val="es-PY"/>
              </w:rPr>
            </w:pPr>
            <w:r w:rsidRPr="00317ABC">
              <w:rPr>
                <w:i/>
                <w:color w:val="auto"/>
                <w:lang w:val="es-PY"/>
              </w:rPr>
              <w:t>155.419</w:t>
            </w:r>
          </w:p>
        </w:tc>
        <w:tc>
          <w:tcPr>
            <w:tcW w:w="1589" w:type="dxa"/>
            <w:tcBorders>
              <w:top w:val="nil"/>
              <w:left w:val="nil"/>
              <w:bottom w:val="single" w:sz="4" w:space="0" w:color="auto"/>
              <w:right w:val="single" w:sz="4" w:space="0" w:color="auto"/>
            </w:tcBorders>
            <w:noWrap/>
            <w:hideMark/>
          </w:tcPr>
          <w:p w:rsidR="00317ABC" w:rsidRPr="00317ABC" w:rsidRDefault="00317ABC" w:rsidP="00317ABC">
            <w:pPr>
              <w:jc w:val="center"/>
              <w:rPr>
                <w:i/>
                <w:color w:val="auto"/>
                <w:lang w:val="es-PY"/>
              </w:rPr>
            </w:pPr>
            <w:r w:rsidRPr="00317ABC">
              <w:rPr>
                <w:i/>
                <w:color w:val="auto"/>
                <w:lang w:val="es-PY"/>
              </w:rPr>
              <w:t>168.833</w:t>
            </w:r>
          </w:p>
        </w:tc>
      </w:tr>
      <w:tr w:rsidR="00317ABC" w:rsidRPr="00317ABC" w:rsidTr="00D77BD5">
        <w:trPr>
          <w:trHeight w:val="210"/>
        </w:trPr>
        <w:tc>
          <w:tcPr>
            <w:tcW w:w="4083" w:type="dxa"/>
            <w:tcBorders>
              <w:top w:val="nil"/>
              <w:left w:val="single" w:sz="4" w:space="0" w:color="auto"/>
              <w:bottom w:val="single" w:sz="4" w:space="0" w:color="auto"/>
              <w:right w:val="single" w:sz="4" w:space="0" w:color="auto"/>
            </w:tcBorders>
            <w:noWrap/>
            <w:vAlign w:val="bottom"/>
            <w:hideMark/>
          </w:tcPr>
          <w:p w:rsidR="00317ABC" w:rsidRPr="00317ABC" w:rsidRDefault="00317ABC" w:rsidP="00317ABC">
            <w:pPr>
              <w:suppressAutoHyphens/>
              <w:jc w:val="both"/>
              <w:rPr>
                <w:i/>
                <w:color w:val="auto"/>
                <w:lang w:val="es-PY"/>
              </w:rPr>
            </w:pPr>
            <w:r w:rsidRPr="00317ABC">
              <w:rPr>
                <w:i/>
                <w:color w:val="auto"/>
                <w:lang w:val="es-PY"/>
              </w:rPr>
              <w:t>Var. % PIB real</w:t>
            </w:r>
          </w:p>
        </w:tc>
        <w:tc>
          <w:tcPr>
            <w:tcW w:w="1630" w:type="dxa"/>
            <w:tcBorders>
              <w:top w:val="nil"/>
              <w:left w:val="nil"/>
              <w:bottom w:val="single" w:sz="4" w:space="0" w:color="auto"/>
              <w:right w:val="single" w:sz="4" w:space="0" w:color="auto"/>
            </w:tcBorders>
            <w:noWrap/>
            <w:vAlign w:val="bottom"/>
            <w:hideMark/>
          </w:tcPr>
          <w:p w:rsidR="00317ABC" w:rsidRPr="00317ABC" w:rsidRDefault="00317ABC" w:rsidP="00317ABC">
            <w:pPr>
              <w:suppressAutoHyphens/>
              <w:jc w:val="center"/>
              <w:rPr>
                <w:i/>
                <w:color w:val="auto"/>
                <w:lang w:val="es-PY"/>
              </w:rPr>
            </w:pPr>
            <w:r w:rsidRPr="00317ABC">
              <w:rPr>
                <w:i/>
                <w:color w:val="auto"/>
                <w:lang w:val="es-PY"/>
              </w:rPr>
              <w:t>3,1</w:t>
            </w:r>
          </w:p>
        </w:tc>
        <w:tc>
          <w:tcPr>
            <w:tcW w:w="1587" w:type="dxa"/>
            <w:tcBorders>
              <w:top w:val="nil"/>
              <w:left w:val="nil"/>
              <w:bottom w:val="single" w:sz="4" w:space="0" w:color="auto"/>
              <w:right w:val="single" w:sz="4" w:space="0" w:color="auto"/>
            </w:tcBorders>
            <w:noWrap/>
            <w:vAlign w:val="bottom"/>
            <w:hideMark/>
          </w:tcPr>
          <w:p w:rsidR="00317ABC" w:rsidRPr="00317ABC" w:rsidRDefault="00317ABC" w:rsidP="00317ABC">
            <w:pPr>
              <w:suppressAutoHyphens/>
              <w:jc w:val="center"/>
              <w:rPr>
                <w:i/>
                <w:color w:val="auto"/>
                <w:lang w:val="es-PY"/>
              </w:rPr>
            </w:pPr>
            <w:r w:rsidRPr="00317ABC">
              <w:rPr>
                <w:i/>
                <w:color w:val="auto"/>
                <w:lang w:val="es-PY"/>
              </w:rPr>
              <w:t>3,5</w:t>
            </w:r>
          </w:p>
        </w:tc>
        <w:tc>
          <w:tcPr>
            <w:tcW w:w="1589" w:type="dxa"/>
            <w:tcBorders>
              <w:top w:val="nil"/>
              <w:left w:val="nil"/>
              <w:bottom w:val="single" w:sz="4" w:space="0" w:color="auto"/>
              <w:right w:val="single" w:sz="4" w:space="0" w:color="auto"/>
            </w:tcBorders>
            <w:noWrap/>
            <w:vAlign w:val="bottom"/>
            <w:hideMark/>
          </w:tcPr>
          <w:p w:rsidR="00317ABC" w:rsidRPr="00317ABC" w:rsidRDefault="00317ABC" w:rsidP="00317ABC">
            <w:pPr>
              <w:suppressAutoHyphens/>
              <w:jc w:val="center"/>
              <w:rPr>
                <w:i/>
                <w:color w:val="auto"/>
                <w:lang w:val="es-PY"/>
              </w:rPr>
            </w:pPr>
            <w:r w:rsidRPr="00317ABC">
              <w:rPr>
                <w:i/>
                <w:color w:val="auto"/>
                <w:lang w:val="es-PY"/>
              </w:rPr>
              <w:t>3,8</w:t>
            </w:r>
          </w:p>
        </w:tc>
      </w:tr>
      <w:tr w:rsidR="00317ABC" w:rsidRPr="00317ABC" w:rsidTr="00D77BD5">
        <w:trPr>
          <w:trHeight w:val="141"/>
        </w:trPr>
        <w:tc>
          <w:tcPr>
            <w:tcW w:w="4083" w:type="dxa"/>
            <w:tcBorders>
              <w:top w:val="nil"/>
              <w:left w:val="single" w:sz="4" w:space="0" w:color="auto"/>
              <w:bottom w:val="single" w:sz="4" w:space="0" w:color="auto"/>
              <w:right w:val="single" w:sz="4" w:space="0" w:color="auto"/>
            </w:tcBorders>
            <w:noWrap/>
            <w:vAlign w:val="bottom"/>
            <w:hideMark/>
          </w:tcPr>
          <w:p w:rsidR="00317ABC" w:rsidRPr="00317ABC" w:rsidRDefault="00317ABC" w:rsidP="00317ABC">
            <w:pPr>
              <w:suppressAutoHyphens/>
              <w:jc w:val="both"/>
              <w:rPr>
                <w:i/>
                <w:color w:val="auto"/>
                <w:lang w:val="es-PY"/>
              </w:rPr>
            </w:pPr>
            <w:r w:rsidRPr="00317ABC">
              <w:rPr>
                <w:i/>
                <w:color w:val="auto"/>
                <w:lang w:val="es-PY"/>
              </w:rPr>
              <w:t>Inflación</w:t>
            </w:r>
          </w:p>
        </w:tc>
        <w:tc>
          <w:tcPr>
            <w:tcW w:w="1630" w:type="dxa"/>
            <w:tcBorders>
              <w:top w:val="nil"/>
              <w:left w:val="nil"/>
              <w:bottom w:val="single" w:sz="4" w:space="0" w:color="auto"/>
              <w:right w:val="single" w:sz="4" w:space="0" w:color="auto"/>
            </w:tcBorders>
            <w:noWrap/>
            <w:vAlign w:val="bottom"/>
            <w:hideMark/>
          </w:tcPr>
          <w:p w:rsidR="00317ABC" w:rsidRPr="00317ABC" w:rsidRDefault="00317ABC" w:rsidP="00317ABC">
            <w:pPr>
              <w:suppressAutoHyphens/>
              <w:jc w:val="center"/>
              <w:rPr>
                <w:i/>
                <w:color w:val="auto"/>
                <w:lang w:val="es-PY"/>
              </w:rPr>
            </w:pPr>
            <w:r w:rsidRPr="00317ABC">
              <w:rPr>
                <w:i/>
                <w:color w:val="auto"/>
                <w:lang w:val="es-PY"/>
              </w:rPr>
              <w:t>3,1</w:t>
            </w:r>
          </w:p>
        </w:tc>
        <w:tc>
          <w:tcPr>
            <w:tcW w:w="1587" w:type="dxa"/>
            <w:tcBorders>
              <w:top w:val="nil"/>
              <w:left w:val="nil"/>
              <w:bottom w:val="single" w:sz="4" w:space="0" w:color="auto"/>
              <w:right w:val="single" w:sz="4" w:space="0" w:color="auto"/>
            </w:tcBorders>
            <w:noWrap/>
            <w:vAlign w:val="bottom"/>
            <w:hideMark/>
          </w:tcPr>
          <w:p w:rsidR="00317ABC" w:rsidRPr="00317ABC" w:rsidRDefault="00317ABC" w:rsidP="00317ABC">
            <w:pPr>
              <w:suppressAutoHyphens/>
              <w:jc w:val="center"/>
              <w:rPr>
                <w:i/>
                <w:color w:val="auto"/>
                <w:lang w:val="es-PY"/>
              </w:rPr>
            </w:pPr>
            <w:r w:rsidRPr="00317ABC">
              <w:rPr>
                <w:i/>
                <w:color w:val="auto"/>
                <w:lang w:val="es-PY"/>
              </w:rPr>
              <w:t>4,5</w:t>
            </w:r>
          </w:p>
        </w:tc>
        <w:tc>
          <w:tcPr>
            <w:tcW w:w="1589" w:type="dxa"/>
            <w:tcBorders>
              <w:top w:val="nil"/>
              <w:left w:val="nil"/>
              <w:bottom w:val="single" w:sz="4" w:space="0" w:color="auto"/>
              <w:right w:val="single" w:sz="4" w:space="0" w:color="auto"/>
            </w:tcBorders>
            <w:noWrap/>
            <w:vAlign w:val="bottom"/>
            <w:hideMark/>
          </w:tcPr>
          <w:p w:rsidR="00317ABC" w:rsidRPr="00317ABC" w:rsidRDefault="00317ABC" w:rsidP="00317ABC">
            <w:pPr>
              <w:suppressAutoHyphens/>
              <w:jc w:val="center"/>
              <w:rPr>
                <w:i/>
                <w:color w:val="auto"/>
                <w:lang w:val="es-PY"/>
              </w:rPr>
            </w:pPr>
            <w:r w:rsidRPr="00317ABC">
              <w:rPr>
                <w:i/>
                <w:color w:val="auto"/>
                <w:lang w:val="es-PY"/>
              </w:rPr>
              <w:t>4,5</w:t>
            </w:r>
          </w:p>
        </w:tc>
      </w:tr>
      <w:tr w:rsidR="00317ABC" w:rsidRPr="00317ABC" w:rsidTr="00D77BD5">
        <w:trPr>
          <w:trHeight w:val="202"/>
        </w:trPr>
        <w:tc>
          <w:tcPr>
            <w:tcW w:w="4083" w:type="dxa"/>
            <w:tcBorders>
              <w:top w:val="nil"/>
              <w:left w:val="single" w:sz="4" w:space="0" w:color="auto"/>
              <w:bottom w:val="single" w:sz="4" w:space="0" w:color="auto"/>
              <w:right w:val="single" w:sz="4" w:space="0" w:color="auto"/>
            </w:tcBorders>
            <w:noWrap/>
            <w:vAlign w:val="bottom"/>
            <w:hideMark/>
          </w:tcPr>
          <w:p w:rsidR="00317ABC" w:rsidRPr="00317ABC" w:rsidRDefault="00317ABC" w:rsidP="00317ABC">
            <w:pPr>
              <w:suppressAutoHyphens/>
              <w:jc w:val="both"/>
              <w:rPr>
                <w:i/>
                <w:color w:val="auto"/>
                <w:lang w:val="es-PY"/>
              </w:rPr>
            </w:pPr>
            <w:r w:rsidRPr="00317ABC">
              <w:rPr>
                <w:i/>
                <w:color w:val="auto"/>
                <w:lang w:val="es-PY"/>
              </w:rPr>
              <w:t>Tipo de cambio (G / US$)</w:t>
            </w:r>
          </w:p>
        </w:tc>
        <w:tc>
          <w:tcPr>
            <w:tcW w:w="1630" w:type="dxa"/>
            <w:tcBorders>
              <w:top w:val="nil"/>
              <w:left w:val="nil"/>
              <w:bottom w:val="single" w:sz="4" w:space="0" w:color="auto"/>
              <w:right w:val="single" w:sz="4" w:space="0" w:color="auto"/>
            </w:tcBorders>
            <w:noWrap/>
            <w:hideMark/>
          </w:tcPr>
          <w:p w:rsidR="00317ABC" w:rsidRPr="00317ABC" w:rsidRDefault="00317ABC" w:rsidP="00317ABC">
            <w:pPr>
              <w:jc w:val="center"/>
              <w:rPr>
                <w:i/>
                <w:color w:val="auto"/>
                <w:lang w:val="es-PY"/>
              </w:rPr>
            </w:pPr>
            <w:r w:rsidRPr="00317ABC">
              <w:rPr>
                <w:i/>
                <w:color w:val="auto"/>
                <w:lang w:val="es-PY"/>
              </w:rPr>
              <w:t>5.205</w:t>
            </w:r>
          </w:p>
        </w:tc>
        <w:tc>
          <w:tcPr>
            <w:tcW w:w="1587" w:type="dxa"/>
            <w:tcBorders>
              <w:top w:val="nil"/>
              <w:left w:val="nil"/>
              <w:bottom w:val="single" w:sz="4" w:space="0" w:color="auto"/>
              <w:right w:val="single" w:sz="4" w:space="0" w:color="auto"/>
            </w:tcBorders>
            <w:noWrap/>
            <w:hideMark/>
          </w:tcPr>
          <w:p w:rsidR="00317ABC" w:rsidRPr="00317ABC" w:rsidRDefault="00317ABC" w:rsidP="00317ABC">
            <w:pPr>
              <w:jc w:val="center"/>
              <w:rPr>
                <w:i/>
                <w:color w:val="auto"/>
                <w:lang w:val="es-PY"/>
              </w:rPr>
            </w:pPr>
            <w:r w:rsidRPr="00317ABC">
              <w:rPr>
                <w:i/>
                <w:color w:val="auto"/>
                <w:lang w:val="es-PY"/>
              </w:rPr>
              <w:t>5.735</w:t>
            </w:r>
          </w:p>
        </w:tc>
        <w:tc>
          <w:tcPr>
            <w:tcW w:w="1589" w:type="dxa"/>
            <w:tcBorders>
              <w:top w:val="nil"/>
              <w:left w:val="nil"/>
              <w:bottom w:val="single" w:sz="4" w:space="0" w:color="auto"/>
              <w:right w:val="single" w:sz="4" w:space="0" w:color="auto"/>
            </w:tcBorders>
            <w:noWrap/>
            <w:hideMark/>
          </w:tcPr>
          <w:p w:rsidR="00317ABC" w:rsidRPr="00317ABC" w:rsidRDefault="00317ABC" w:rsidP="00317ABC">
            <w:pPr>
              <w:jc w:val="center"/>
              <w:rPr>
                <w:i/>
                <w:color w:val="auto"/>
                <w:lang w:val="es-PY"/>
              </w:rPr>
            </w:pPr>
            <w:r w:rsidRPr="00317ABC">
              <w:rPr>
                <w:i/>
                <w:color w:val="auto"/>
                <w:lang w:val="es-PY"/>
              </w:rPr>
              <w:t>5.929</w:t>
            </w:r>
          </w:p>
        </w:tc>
      </w:tr>
      <w:tr w:rsidR="00317ABC" w:rsidRPr="00317ABC" w:rsidTr="00D77BD5">
        <w:trPr>
          <w:trHeight w:val="120"/>
        </w:trPr>
        <w:tc>
          <w:tcPr>
            <w:tcW w:w="4083" w:type="dxa"/>
            <w:tcBorders>
              <w:top w:val="nil"/>
              <w:left w:val="single" w:sz="4" w:space="0" w:color="auto"/>
              <w:bottom w:val="single" w:sz="4" w:space="0" w:color="auto"/>
              <w:right w:val="single" w:sz="4" w:space="0" w:color="auto"/>
            </w:tcBorders>
            <w:noWrap/>
            <w:vAlign w:val="bottom"/>
            <w:hideMark/>
          </w:tcPr>
          <w:p w:rsidR="00317ABC" w:rsidRPr="00317ABC" w:rsidRDefault="00317ABC" w:rsidP="00317ABC">
            <w:pPr>
              <w:suppressAutoHyphens/>
              <w:jc w:val="both"/>
              <w:rPr>
                <w:i/>
                <w:color w:val="auto"/>
                <w:lang w:val="es-PY"/>
              </w:rPr>
            </w:pPr>
            <w:r w:rsidRPr="00317ABC">
              <w:rPr>
                <w:i/>
                <w:color w:val="auto"/>
                <w:lang w:val="es-PY"/>
              </w:rPr>
              <w:t>Importaciones de Bienes (mill. de US$)</w:t>
            </w:r>
          </w:p>
        </w:tc>
        <w:tc>
          <w:tcPr>
            <w:tcW w:w="1630" w:type="dxa"/>
            <w:tcBorders>
              <w:top w:val="nil"/>
              <w:left w:val="nil"/>
              <w:bottom w:val="single" w:sz="4" w:space="0" w:color="auto"/>
              <w:right w:val="single" w:sz="4" w:space="0" w:color="auto"/>
            </w:tcBorders>
            <w:noWrap/>
            <w:hideMark/>
          </w:tcPr>
          <w:p w:rsidR="00317ABC" w:rsidRPr="00317ABC" w:rsidRDefault="00317ABC" w:rsidP="00317ABC">
            <w:pPr>
              <w:jc w:val="center"/>
              <w:rPr>
                <w:i/>
                <w:color w:val="auto"/>
                <w:lang w:val="es-PY"/>
              </w:rPr>
            </w:pPr>
            <w:r w:rsidRPr="00317ABC">
              <w:rPr>
                <w:i/>
                <w:color w:val="auto"/>
                <w:lang w:val="es-PY"/>
              </w:rPr>
              <w:t>9.529</w:t>
            </w:r>
          </w:p>
        </w:tc>
        <w:tc>
          <w:tcPr>
            <w:tcW w:w="1587" w:type="dxa"/>
            <w:tcBorders>
              <w:top w:val="nil"/>
              <w:left w:val="nil"/>
              <w:bottom w:val="single" w:sz="4" w:space="0" w:color="auto"/>
              <w:right w:val="single" w:sz="4" w:space="0" w:color="auto"/>
            </w:tcBorders>
            <w:noWrap/>
            <w:hideMark/>
          </w:tcPr>
          <w:p w:rsidR="00317ABC" w:rsidRPr="00317ABC" w:rsidRDefault="00317ABC" w:rsidP="00317ABC">
            <w:pPr>
              <w:jc w:val="center"/>
              <w:rPr>
                <w:i/>
                <w:color w:val="auto"/>
                <w:lang w:val="es-PY"/>
              </w:rPr>
            </w:pPr>
            <w:r w:rsidRPr="00317ABC">
              <w:rPr>
                <w:i/>
                <w:color w:val="auto"/>
                <w:lang w:val="es-PY"/>
              </w:rPr>
              <w:t>8.672</w:t>
            </w:r>
          </w:p>
        </w:tc>
        <w:tc>
          <w:tcPr>
            <w:tcW w:w="1589" w:type="dxa"/>
            <w:tcBorders>
              <w:top w:val="nil"/>
              <w:left w:val="nil"/>
              <w:bottom w:val="single" w:sz="4" w:space="0" w:color="auto"/>
              <w:right w:val="single" w:sz="4" w:space="0" w:color="auto"/>
            </w:tcBorders>
            <w:noWrap/>
            <w:hideMark/>
          </w:tcPr>
          <w:p w:rsidR="00317ABC" w:rsidRPr="00317ABC" w:rsidRDefault="00317ABC" w:rsidP="00317ABC">
            <w:pPr>
              <w:jc w:val="center"/>
              <w:rPr>
                <w:i/>
                <w:color w:val="auto"/>
                <w:lang w:val="es-PY"/>
              </w:rPr>
            </w:pPr>
            <w:r w:rsidRPr="00317ABC">
              <w:rPr>
                <w:i/>
                <w:color w:val="auto"/>
                <w:lang w:val="es-PY"/>
              </w:rPr>
              <w:t>9.253</w:t>
            </w:r>
          </w:p>
        </w:tc>
      </w:tr>
      <w:tr w:rsidR="00317ABC" w:rsidRPr="00317ABC" w:rsidTr="00D77BD5">
        <w:trPr>
          <w:trHeight w:val="293"/>
        </w:trPr>
        <w:tc>
          <w:tcPr>
            <w:tcW w:w="8889" w:type="dxa"/>
            <w:gridSpan w:val="4"/>
            <w:tcBorders>
              <w:top w:val="single" w:sz="4" w:space="0" w:color="auto"/>
              <w:left w:val="nil"/>
              <w:bottom w:val="nil"/>
              <w:right w:val="nil"/>
            </w:tcBorders>
            <w:noWrap/>
            <w:vAlign w:val="bottom"/>
            <w:hideMark/>
          </w:tcPr>
          <w:p w:rsidR="00317ABC" w:rsidRPr="00317ABC" w:rsidRDefault="00317ABC" w:rsidP="00317ABC">
            <w:pPr>
              <w:suppressAutoHyphens/>
              <w:jc w:val="both"/>
              <w:rPr>
                <w:i/>
                <w:color w:val="auto"/>
                <w:sz w:val="18"/>
                <w:szCs w:val="18"/>
                <w:lang w:val="es-PY"/>
              </w:rPr>
            </w:pPr>
            <w:r w:rsidRPr="00317ABC">
              <w:rPr>
                <w:i/>
                <w:color w:val="auto"/>
                <w:sz w:val="18"/>
                <w:szCs w:val="18"/>
                <w:lang w:val="es-PY"/>
              </w:rPr>
              <w:t>1/ Incluye Binacionales</w:t>
            </w:r>
          </w:p>
          <w:p w:rsidR="00317ABC" w:rsidRPr="00317ABC" w:rsidRDefault="00317ABC" w:rsidP="00317ABC">
            <w:pPr>
              <w:suppressAutoHyphens/>
              <w:jc w:val="both"/>
              <w:rPr>
                <w:i/>
                <w:color w:val="auto"/>
                <w:lang w:val="es-PY"/>
              </w:rPr>
            </w:pPr>
          </w:p>
        </w:tc>
      </w:tr>
    </w:tbl>
    <w:p w:rsidR="00317ABC" w:rsidRPr="00317ABC" w:rsidRDefault="00317ABC" w:rsidP="00317ABC">
      <w:pPr>
        <w:suppressAutoHyphens/>
        <w:ind w:firstLine="1985"/>
        <w:jc w:val="both"/>
        <w:rPr>
          <w:i/>
          <w:color w:val="auto"/>
          <w:lang w:val="es-MX"/>
        </w:rPr>
      </w:pPr>
      <w:r w:rsidRPr="00317ABC">
        <w:rPr>
          <w:i/>
          <w:color w:val="auto"/>
          <w:lang w:val="es-MX"/>
        </w:rPr>
        <w:t>De acuerdo con las proyecciones que sustentan la estimación de ingresos del Presupuesto General de la Nación para el Ejercicio Fiscal 2017 se espera un crecimiento del 3,8%, compatible con el crecimiento potencial actual y consistente con las condiciones climáticas normales para el sector agrícola, manteniéndose asimismo la dinámica del sector de la construcción y una expectativa de recuperación del sector comercio. El comportamiento del producto interno bruto determina una proporción importante de los ingresos tributarios, ya que es un reflejo de la evolución de los distintos sectores económicos.</w:t>
      </w:r>
    </w:p>
    <w:p w:rsidR="00317ABC" w:rsidRPr="00317ABC" w:rsidRDefault="00317ABC" w:rsidP="009729CE">
      <w:pPr>
        <w:suppressAutoHyphens/>
        <w:jc w:val="both"/>
        <w:rPr>
          <w:i/>
          <w:color w:val="000000" w:themeColor="text1"/>
          <w:lang w:val="es-MX"/>
        </w:rPr>
      </w:pPr>
    </w:p>
    <w:p w:rsidR="00317ABC" w:rsidRPr="00317ABC" w:rsidRDefault="00317ABC" w:rsidP="00317ABC">
      <w:pPr>
        <w:suppressAutoHyphens/>
        <w:ind w:firstLine="1985"/>
        <w:jc w:val="both"/>
        <w:rPr>
          <w:i/>
          <w:color w:val="000000" w:themeColor="text1"/>
          <w:lang w:val="es-MX"/>
        </w:rPr>
      </w:pPr>
      <w:r w:rsidRPr="00317ABC">
        <w:rPr>
          <w:i/>
          <w:color w:val="000000" w:themeColor="text1"/>
          <w:lang w:val="es-MX"/>
        </w:rPr>
        <w:t>La estimación de los ingresos no tributarios está determinada por factores tales como el salario mínimo, el Índice de Precios al Consumidor (IPC), el ingreso efectivo por el pago de las regalías y compensaciones de las Entidades Binacionales, las rentas obtenidas sobre los a</w:t>
      </w:r>
      <w:r w:rsidR="00183BE4">
        <w:rPr>
          <w:i/>
          <w:color w:val="000000" w:themeColor="text1"/>
          <w:lang w:val="es-MX"/>
        </w:rPr>
        <w:t>ctivos del Estado, entre otros.</w:t>
      </w:r>
    </w:p>
    <w:p w:rsidR="009729CE" w:rsidRDefault="009729CE">
      <w:pPr>
        <w:spacing w:after="200" w:line="276" w:lineRule="auto"/>
        <w:rPr>
          <w:i/>
          <w:color w:val="000000" w:themeColor="text1"/>
          <w:lang w:val="es-MX"/>
        </w:rPr>
      </w:pPr>
      <w:r>
        <w:rPr>
          <w:i/>
          <w:color w:val="000000" w:themeColor="text1"/>
          <w:lang w:val="es-MX"/>
        </w:rPr>
        <w:br w:type="page"/>
      </w:r>
    </w:p>
    <w:p w:rsidR="0026429F" w:rsidRPr="00484D7D" w:rsidRDefault="0026429F" w:rsidP="0026429F">
      <w:pPr>
        <w:jc w:val="center"/>
        <w:rPr>
          <w:i/>
          <w:color w:val="000000" w:themeColor="text1"/>
          <w:lang w:val="es-ES_tradnl"/>
        </w:rPr>
      </w:pPr>
      <w:r>
        <w:rPr>
          <w:i/>
          <w:color w:val="000000" w:themeColor="text1"/>
          <w:lang w:val="es-ES_tradnl"/>
        </w:rPr>
        <w:lastRenderedPageBreak/>
        <w:t>-11-</w:t>
      </w:r>
    </w:p>
    <w:p w:rsidR="0026429F" w:rsidRDefault="0026429F" w:rsidP="0026429F">
      <w:pPr>
        <w:jc w:val="both"/>
        <w:rPr>
          <w:i/>
          <w:color w:val="000000" w:themeColor="text1"/>
          <w:lang w:val="es-ES_tradnl"/>
        </w:rPr>
      </w:pPr>
    </w:p>
    <w:p w:rsidR="0026429F" w:rsidRPr="00484D7D" w:rsidRDefault="0026429F" w:rsidP="0026429F">
      <w:pPr>
        <w:jc w:val="both"/>
        <w:rPr>
          <w:i/>
          <w:color w:val="000000" w:themeColor="text1"/>
          <w:lang w:val="es-ES_tradnl"/>
        </w:rPr>
      </w:pPr>
    </w:p>
    <w:p w:rsidR="0026429F" w:rsidRPr="00484D7D" w:rsidRDefault="0026429F" w:rsidP="0026429F">
      <w:pPr>
        <w:jc w:val="both"/>
        <w:rPr>
          <w:i/>
          <w:color w:val="000000" w:themeColor="text1"/>
          <w:lang w:val="es-ES_tradnl"/>
        </w:rPr>
      </w:pPr>
    </w:p>
    <w:p w:rsidR="0026429F" w:rsidRPr="00484D7D" w:rsidRDefault="0026429F" w:rsidP="0026429F">
      <w:pPr>
        <w:jc w:val="both"/>
        <w:rPr>
          <w:i/>
          <w:color w:val="000000" w:themeColor="text1"/>
          <w:lang w:val="es-ES_tradnl"/>
        </w:rPr>
      </w:pPr>
      <w:r w:rsidRPr="00484D7D">
        <w:rPr>
          <w:i/>
          <w:color w:val="000000" w:themeColor="text1"/>
          <w:lang w:val="es-ES_tradnl"/>
        </w:rPr>
        <w:t>N°________</w:t>
      </w:r>
    </w:p>
    <w:p w:rsidR="0026429F" w:rsidRPr="00484D7D" w:rsidRDefault="0026429F" w:rsidP="0026429F">
      <w:pPr>
        <w:jc w:val="both"/>
        <w:rPr>
          <w:i/>
          <w:color w:val="000000" w:themeColor="text1"/>
          <w:lang w:val="es-ES_tradnl"/>
        </w:rPr>
      </w:pPr>
    </w:p>
    <w:p w:rsidR="0026429F" w:rsidRPr="00484D7D" w:rsidRDefault="0026429F" w:rsidP="0026429F">
      <w:pPr>
        <w:jc w:val="both"/>
        <w:rPr>
          <w:i/>
          <w:color w:val="000000" w:themeColor="text1"/>
          <w:lang w:val="es-ES_tradnl"/>
        </w:rPr>
      </w:pPr>
    </w:p>
    <w:p w:rsidR="00317ABC" w:rsidRPr="00317ABC" w:rsidRDefault="00317ABC" w:rsidP="00317ABC">
      <w:pPr>
        <w:suppressAutoHyphens/>
        <w:jc w:val="both"/>
        <w:rPr>
          <w:i/>
          <w:color w:val="000000" w:themeColor="text1"/>
          <w:lang w:val="es-MX"/>
        </w:rPr>
      </w:pPr>
    </w:p>
    <w:p w:rsidR="00317ABC" w:rsidRPr="00A839B3" w:rsidRDefault="00317ABC" w:rsidP="00317ABC">
      <w:pPr>
        <w:suppressAutoHyphens/>
        <w:ind w:firstLine="1985"/>
        <w:jc w:val="both"/>
        <w:rPr>
          <w:i/>
          <w:color w:val="000000" w:themeColor="text1"/>
          <w:lang w:val="es-MX"/>
        </w:rPr>
      </w:pPr>
      <w:r w:rsidRPr="00317ABC">
        <w:rPr>
          <w:i/>
          <w:color w:val="000000" w:themeColor="text1"/>
          <w:lang w:val="es-MX"/>
        </w:rPr>
        <w:t xml:space="preserve">En cuanto a los ingresos provenientes de las Entidades Binacionales, el Proyecto de Presupuesto incorpora la suma </w:t>
      </w:r>
      <w:r w:rsidRPr="0026429F">
        <w:rPr>
          <w:i/>
          <w:color w:val="auto"/>
          <w:lang w:val="es-MX"/>
        </w:rPr>
        <w:t xml:space="preserve">de </w:t>
      </w:r>
      <w:r w:rsidR="00952E23">
        <w:rPr>
          <w:i/>
          <w:color w:val="auto"/>
          <w:lang w:val="es-MX"/>
        </w:rPr>
        <w:t>₲</w:t>
      </w:r>
      <w:r w:rsidRPr="0026429F">
        <w:rPr>
          <w:i/>
          <w:color w:val="auto"/>
          <w:lang w:val="es-MX"/>
        </w:rPr>
        <w:t xml:space="preserve"> 3,2 billones en </w:t>
      </w:r>
      <w:r w:rsidRPr="00317ABC">
        <w:rPr>
          <w:i/>
          <w:color w:val="000000" w:themeColor="text1"/>
          <w:lang w:val="es-MX"/>
        </w:rPr>
        <w:t xml:space="preserve">el ejercicio 2017 </w:t>
      </w:r>
      <w:r w:rsidR="00D77BD5">
        <w:rPr>
          <w:i/>
          <w:color w:val="000000" w:themeColor="text1"/>
          <w:lang w:val="es-MX"/>
        </w:rPr>
        <w:t xml:space="preserve">             </w:t>
      </w:r>
      <w:r w:rsidRPr="00317ABC">
        <w:rPr>
          <w:i/>
          <w:color w:val="000000" w:themeColor="text1"/>
          <w:lang w:val="es-MX"/>
        </w:rPr>
        <w:t>(US$ 540 millones, aproximadamente). Cabe resaltar que estos recursos son asignados en el Presupuesto conforme al marco legal vigente, previéndose las coparticipaciones respectivas.</w:t>
      </w:r>
    </w:p>
    <w:p w:rsidR="00326C4E" w:rsidRPr="00A839B3" w:rsidRDefault="00326C4E" w:rsidP="00326C4E">
      <w:pPr>
        <w:suppressAutoHyphens/>
        <w:jc w:val="both"/>
        <w:rPr>
          <w:i/>
          <w:color w:val="000000" w:themeColor="text1"/>
          <w:lang w:val="es-MX"/>
        </w:rPr>
      </w:pPr>
    </w:p>
    <w:p w:rsidR="00326C4E" w:rsidRDefault="00326C4E" w:rsidP="00EE1DE1">
      <w:pPr>
        <w:pStyle w:val="Prrafodelista"/>
        <w:numPr>
          <w:ilvl w:val="0"/>
          <w:numId w:val="1"/>
        </w:numPr>
        <w:suppressAutoHyphens/>
        <w:ind w:left="284" w:hanging="284"/>
        <w:jc w:val="both"/>
        <w:rPr>
          <w:b/>
          <w:i/>
          <w:color w:val="000000" w:themeColor="text1"/>
        </w:rPr>
      </w:pPr>
      <w:r w:rsidRPr="00EE1DE1">
        <w:rPr>
          <w:b/>
          <w:i/>
          <w:color w:val="000000" w:themeColor="text1"/>
        </w:rPr>
        <w:t>Asignación de Gastos</w:t>
      </w:r>
      <w:r w:rsidR="00EE1DE1">
        <w:rPr>
          <w:b/>
          <w:i/>
          <w:color w:val="000000" w:themeColor="text1"/>
        </w:rPr>
        <w:t>.</w:t>
      </w:r>
    </w:p>
    <w:p w:rsidR="00EE1DE1" w:rsidRPr="00EE1DE1" w:rsidRDefault="00EE1DE1" w:rsidP="00EE1DE1">
      <w:pPr>
        <w:suppressAutoHyphens/>
        <w:jc w:val="both"/>
        <w:rPr>
          <w:i/>
          <w:color w:val="000000" w:themeColor="text1"/>
        </w:rPr>
      </w:pPr>
    </w:p>
    <w:p w:rsidR="0094608F" w:rsidRPr="0094608F" w:rsidRDefault="0094608F" w:rsidP="0094608F">
      <w:pPr>
        <w:suppressAutoHyphens/>
        <w:ind w:firstLine="1985"/>
        <w:jc w:val="both"/>
        <w:rPr>
          <w:i/>
          <w:color w:val="000000" w:themeColor="text1"/>
          <w:lang w:val="es-MX"/>
        </w:rPr>
      </w:pPr>
      <w:r w:rsidRPr="0094608F">
        <w:rPr>
          <w:i/>
          <w:color w:val="000000" w:themeColor="text1"/>
          <w:lang w:val="es-MX"/>
        </w:rPr>
        <w:t>Los recursos del Proyecto de Presupuesto 2017 están enfocados a fortalecer los programas sociales que benefician a la población más vulnerable, además de promover la ejecución de obras de infraestructura, de manera a ser un apoyo al crecimiento económico y social del país. En ese sentido, los principales compromisos establecidos para el siguiente año son:</w:t>
      </w:r>
    </w:p>
    <w:p w:rsidR="0094608F" w:rsidRPr="0094608F" w:rsidRDefault="0094608F" w:rsidP="0094608F">
      <w:pPr>
        <w:jc w:val="both"/>
        <w:rPr>
          <w:i/>
          <w:iCs/>
        </w:rPr>
      </w:pPr>
    </w:p>
    <w:p w:rsidR="0094608F" w:rsidRPr="0094608F" w:rsidRDefault="0094608F" w:rsidP="0094608F">
      <w:pPr>
        <w:pStyle w:val="Prrafodelista"/>
        <w:numPr>
          <w:ilvl w:val="0"/>
          <w:numId w:val="14"/>
        </w:numPr>
        <w:suppressAutoHyphens/>
        <w:jc w:val="both"/>
        <w:rPr>
          <w:i/>
          <w:color w:val="000000" w:themeColor="text1"/>
          <w:lang w:val="es-MX"/>
        </w:rPr>
      </w:pPr>
      <w:r w:rsidRPr="0094608F">
        <w:rPr>
          <w:i/>
          <w:color w:val="000000" w:themeColor="text1"/>
          <w:lang w:val="es-MX"/>
        </w:rPr>
        <w:t xml:space="preserve">La Inversión social representa el 56,7% del </w:t>
      </w:r>
      <w:r w:rsidR="00952E23">
        <w:rPr>
          <w:i/>
          <w:color w:val="000000" w:themeColor="text1"/>
          <w:lang w:val="es-MX"/>
        </w:rPr>
        <w:t>t</w:t>
      </w:r>
      <w:r w:rsidRPr="0094608F">
        <w:rPr>
          <w:i/>
          <w:color w:val="000000" w:themeColor="text1"/>
          <w:lang w:val="es-MX"/>
        </w:rPr>
        <w:t>otal de Gastos de la Administración Central, con un incremento del 0,8%, con respecto al Ejercicio Fiscal 2016.</w:t>
      </w:r>
    </w:p>
    <w:p w:rsidR="0094608F" w:rsidRPr="0094608F" w:rsidRDefault="0094608F" w:rsidP="0094608F">
      <w:pPr>
        <w:pStyle w:val="Prrafodelista"/>
        <w:numPr>
          <w:ilvl w:val="0"/>
          <w:numId w:val="14"/>
        </w:numPr>
        <w:suppressAutoHyphens/>
        <w:jc w:val="both"/>
        <w:rPr>
          <w:i/>
          <w:color w:val="000000" w:themeColor="text1"/>
          <w:lang w:val="es-MX"/>
        </w:rPr>
      </w:pPr>
      <w:r w:rsidRPr="0094608F">
        <w:rPr>
          <w:i/>
          <w:color w:val="000000" w:themeColor="text1"/>
          <w:lang w:val="es-MX"/>
        </w:rPr>
        <w:t>190.000 Adultos Mayores en situación de pobreza reciben pensión, aumentando 290% la cobertura con relación al 2012.</w:t>
      </w:r>
    </w:p>
    <w:p w:rsidR="0094608F" w:rsidRPr="0094608F" w:rsidRDefault="0094608F" w:rsidP="0094608F">
      <w:pPr>
        <w:pStyle w:val="Prrafodelista"/>
        <w:numPr>
          <w:ilvl w:val="0"/>
          <w:numId w:val="14"/>
        </w:numPr>
        <w:suppressAutoHyphens/>
        <w:jc w:val="both"/>
        <w:rPr>
          <w:i/>
          <w:color w:val="000000" w:themeColor="text1"/>
          <w:lang w:val="es-MX"/>
        </w:rPr>
      </w:pPr>
      <w:r w:rsidRPr="0094608F">
        <w:rPr>
          <w:i/>
          <w:color w:val="000000" w:themeColor="text1"/>
          <w:lang w:val="es-MX"/>
        </w:rPr>
        <w:t>Ampliación de cobertura en 70% de las transferencias monetarias condicionadas para familias (150.000) en situación de pobreza, relacionada a la línea de base (2012) (</w:t>
      </w:r>
      <w:r w:rsidR="00EB6D5E">
        <w:rPr>
          <w:i/>
          <w:color w:val="000000" w:themeColor="text1"/>
          <w:lang w:val="es-MX"/>
        </w:rPr>
        <w:t xml:space="preserve">Programa </w:t>
      </w:r>
      <w:r w:rsidR="00EB6D5E" w:rsidRPr="0094608F">
        <w:rPr>
          <w:i/>
          <w:color w:val="000000" w:themeColor="text1"/>
          <w:lang w:val="es-MX"/>
        </w:rPr>
        <w:t>TEKOPORÂ</w:t>
      </w:r>
      <w:r w:rsidRPr="0094608F">
        <w:rPr>
          <w:i/>
          <w:color w:val="000000" w:themeColor="text1"/>
          <w:lang w:val="es-MX"/>
        </w:rPr>
        <w:t>).</w:t>
      </w:r>
    </w:p>
    <w:p w:rsidR="0094608F" w:rsidRPr="0094608F" w:rsidRDefault="0094608F" w:rsidP="0094608F">
      <w:pPr>
        <w:pStyle w:val="Prrafodelista"/>
        <w:numPr>
          <w:ilvl w:val="0"/>
          <w:numId w:val="14"/>
        </w:numPr>
        <w:suppressAutoHyphens/>
        <w:jc w:val="both"/>
        <w:rPr>
          <w:i/>
          <w:color w:val="000000" w:themeColor="text1"/>
          <w:lang w:val="es-MX"/>
        </w:rPr>
      </w:pPr>
      <w:r w:rsidRPr="0094608F">
        <w:rPr>
          <w:i/>
          <w:color w:val="000000" w:themeColor="text1"/>
          <w:lang w:val="es-MX"/>
        </w:rPr>
        <w:t xml:space="preserve">12.000 niños/as y adolescentes en situación de trabajo infantil son protegidos, representando 9.258 niños más que en el 2012. </w:t>
      </w:r>
    </w:p>
    <w:p w:rsidR="0094608F" w:rsidRPr="0094608F" w:rsidRDefault="0094608F" w:rsidP="0094608F">
      <w:pPr>
        <w:pStyle w:val="Prrafodelista"/>
        <w:numPr>
          <w:ilvl w:val="0"/>
          <w:numId w:val="14"/>
        </w:numPr>
        <w:suppressAutoHyphens/>
        <w:jc w:val="both"/>
        <w:rPr>
          <w:i/>
          <w:color w:val="000000" w:themeColor="text1"/>
          <w:lang w:val="es-MX"/>
        </w:rPr>
      </w:pPr>
      <w:r w:rsidRPr="0094608F">
        <w:rPr>
          <w:i/>
          <w:color w:val="000000" w:themeColor="text1"/>
          <w:lang w:val="es-MX"/>
        </w:rPr>
        <w:t>Viviendas dignas para un total de 9.719 Familias, que representan un aumento de 7.403 familias, con respecto a las beneficiadas en el año 2012 (2.316 familias).</w:t>
      </w:r>
    </w:p>
    <w:p w:rsidR="0094608F" w:rsidRPr="0094608F" w:rsidRDefault="0094608F" w:rsidP="0094608F">
      <w:pPr>
        <w:pStyle w:val="Prrafodelista"/>
        <w:numPr>
          <w:ilvl w:val="0"/>
          <w:numId w:val="14"/>
        </w:numPr>
        <w:jc w:val="both"/>
        <w:rPr>
          <w:i/>
          <w:iCs/>
          <w:lang w:val="es-PY"/>
        </w:rPr>
      </w:pPr>
      <w:r w:rsidRPr="0094608F">
        <w:rPr>
          <w:i/>
          <w:iCs/>
          <w:lang w:val="es-PY"/>
        </w:rPr>
        <w:t xml:space="preserve">Mejora del Capital Humano con la entrega de 279 becas de estudio en el exterior para posgrado y entrenamiento docente y la capacitación a </w:t>
      </w:r>
      <w:r w:rsidRPr="0094608F">
        <w:rPr>
          <w:i/>
          <w:color w:val="000000" w:themeColor="text1"/>
          <w:lang w:val="es-MX"/>
        </w:rPr>
        <w:t>25.031 docentes.</w:t>
      </w:r>
    </w:p>
    <w:p w:rsidR="0094608F" w:rsidRPr="0094608F" w:rsidRDefault="0094608F" w:rsidP="0094608F">
      <w:pPr>
        <w:pStyle w:val="Prrafodelista"/>
        <w:numPr>
          <w:ilvl w:val="0"/>
          <w:numId w:val="14"/>
        </w:numPr>
        <w:autoSpaceDE w:val="0"/>
        <w:autoSpaceDN w:val="0"/>
        <w:adjustRightInd w:val="0"/>
        <w:jc w:val="both"/>
        <w:rPr>
          <w:i/>
          <w:color w:val="000000" w:themeColor="text1"/>
          <w:lang w:val="es-MX"/>
        </w:rPr>
      </w:pPr>
      <w:r w:rsidRPr="0094608F">
        <w:rPr>
          <w:i/>
          <w:color w:val="000000" w:themeColor="text1"/>
          <w:lang w:val="es-MX"/>
        </w:rPr>
        <w:t>Entrega de alimento escolar beneficiando a 894.659 alumnos/as.</w:t>
      </w:r>
    </w:p>
    <w:p w:rsidR="0094608F" w:rsidRPr="0094608F" w:rsidRDefault="0094608F" w:rsidP="0094608F">
      <w:pPr>
        <w:pStyle w:val="Prrafodelista"/>
        <w:numPr>
          <w:ilvl w:val="0"/>
          <w:numId w:val="14"/>
        </w:numPr>
        <w:autoSpaceDE w:val="0"/>
        <w:autoSpaceDN w:val="0"/>
        <w:adjustRightInd w:val="0"/>
        <w:jc w:val="both"/>
        <w:rPr>
          <w:i/>
          <w:color w:val="000000" w:themeColor="text1"/>
          <w:lang w:val="es-MX"/>
        </w:rPr>
      </w:pPr>
      <w:r w:rsidRPr="0094608F">
        <w:rPr>
          <w:i/>
          <w:color w:val="000000" w:themeColor="text1"/>
          <w:lang w:val="es-MX"/>
        </w:rPr>
        <w:t>Canasta de útiles escolares con un 100% de cobertura, llegando a:</w:t>
      </w:r>
    </w:p>
    <w:p w:rsidR="00B17B12" w:rsidRDefault="00B17B12">
      <w:pPr>
        <w:spacing w:after="200" w:line="276" w:lineRule="auto"/>
        <w:rPr>
          <w:i/>
          <w:color w:val="000000" w:themeColor="text1"/>
          <w:lang w:val="es-MX"/>
        </w:rPr>
      </w:pPr>
      <w:r>
        <w:rPr>
          <w:i/>
          <w:color w:val="000000" w:themeColor="text1"/>
          <w:lang w:val="es-MX"/>
        </w:rPr>
        <w:br w:type="page"/>
      </w:r>
    </w:p>
    <w:p w:rsidR="00B17B12" w:rsidRPr="00484D7D" w:rsidRDefault="00B17B12" w:rsidP="00B17B12">
      <w:pPr>
        <w:jc w:val="center"/>
        <w:rPr>
          <w:i/>
          <w:color w:val="000000" w:themeColor="text1"/>
          <w:lang w:val="es-ES_tradnl"/>
        </w:rPr>
      </w:pPr>
      <w:r>
        <w:rPr>
          <w:i/>
          <w:color w:val="000000" w:themeColor="text1"/>
          <w:lang w:val="es-ES_tradnl"/>
        </w:rPr>
        <w:lastRenderedPageBreak/>
        <w:t>-12-</w:t>
      </w:r>
    </w:p>
    <w:p w:rsidR="00B17B12" w:rsidRDefault="00B17B12" w:rsidP="00B17B12">
      <w:pPr>
        <w:jc w:val="both"/>
        <w:rPr>
          <w:i/>
          <w:color w:val="000000" w:themeColor="text1"/>
          <w:lang w:val="es-ES_tradnl"/>
        </w:rPr>
      </w:pPr>
    </w:p>
    <w:p w:rsidR="00B17B12" w:rsidRPr="00484D7D" w:rsidRDefault="00B17B12" w:rsidP="00B17B12">
      <w:pPr>
        <w:jc w:val="both"/>
        <w:rPr>
          <w:i/>
          <w:color w:val="000000" w:themeColor="text1"/>
          <w:lang w:val="es-ES_tradnl"/>
        </w:rPr>
      </w:pPr>
    </w:p>
    <w:p w:rsidR="00B17B12" w:rsidRPr="00484D7D" w:rsidRDefault="00B17B12" w:rsidP="00B17B12">
      <w:pPr>
        <w:jc w:val="both"/>
        <w:rPr>
          <w:i/>
          <w:color w:val="000000" w:themeColor="text1"/>
          <w:lang w:val="es-ES_tradnl"/>
        </w:rPr>
      </w:pPr>
    </w:p>
    <w:p w:rsidR="00B17B12" w:rsidRPr="00484D7D" w:rsidRDefault="00B17B12" w:rsidP="00B17B12">
      <w:pPr>
        <w:jc w:val="both"/>
        <w:rPr>
          <w:i/>
          <w:color w:val="000000" w:themeColor="text1"/>
          <w:lang w:val="es-ES_tradnl"/>
        </w:rPr>
      </w:pPr>
      <w:r w:rsidRPr="00484D7D">
        <w:rPr>
          <w:i/>
          <w:color w:val="000000" w:themeColor="text1"/>
          <w:lang w:val="es-ES_tradnl"/>
        </w:rPr>
        <w:t>N°________</w:t>
      </w:r>
    </w:p>
    <w:p w:rsidR="00B17B12" w:rsidRPr="00484D7D" w:rsidRDefault="00B17B12" w:rsidP="00B17B12">
      <w:pPr>
        <w:jc w:val="both"/>
        <w:rPr>
          <w:i/>
          <w:color w:val="000000" w:themeColor="text1"/>
          <w:lang w:val="es-ES_tradnl"/>
        </w:rPr>
      </w:pPr>
    </w:p>
    <w:p w:rsidR="00B17B12" w:rsidRPr="00484D7D" w:rsidRDefault="00B17B12" w:rsidP="00B17B12">
      <w:pPr>
        <w:jc w:val="both"/>
        <w:rPr>
          <w:i/>
          <w:color w:val="000000" w:themeColor="text1"/>
          <w:lang w:val="es-ES_tradnl"/>
        </w:rPr>
      </w:pPr>
    </w:p>
    <w:p w:rsidR="0094608F" w:rsidRPr="00B17B12" w:rsidRDefault="0094608F" w:rsidP="00B17B12">
      <w:pPr>
        <w:autoSpaceDE w:val="0"/>
        <w:autoSpaceDN w:val="0"/>
        <w:adjustRightInd w:val="0"/>
        <w:jc w:val="both"/>
        <w:rPr>
          <w:i/>
          <w:color w:val="000000" w:themeColor="text1"/>
          <w:lang w:val="es-MX"/>
        </w:rPr>
      </w:pPr>
    </w:p>
    <w:tbl>
      <w:tblPr>
        <w:tblStyle w:val="Tablaconcuadrcula"/>
        <w:tblW w:w="0" w:type="auto"/>
        <w:jc w:val="center"/>
        <w:tblLook w:val="04A0" w:firstRow="1" w:lastRow="0" w:firstColumn="1" w:lastColumn="0" w:noHBand="0" w:noVBand="1"/>
      </w:tblPr>
      <w:tblGrid>
        <w:gridCol w:w="1661"/>
        <w:gridCol w:w="3636"/>
      </w:tblGrid>
      <w:tr w:rsidR="0094608F" w:rsidRPr="0094608F" w:rsidTr="00A04760">
        <w:trPr>
          <w:jc w:val="center"/>
        </w:trPr>
        <w:tc>
          <w:tcPr>
            <w:tcW w:w="1661" w:type="dxa"/>
          </w:tcPr>
          <w:p w:rsidR="0094608F" w:rsidRPr="0094608F" w:rsidRDefault="0094608F" w:rsidP="00A04760">
            <w:pPr>
              <w:pStyle w:val="Prrafodelista"/>
              <w:autoSpaceDE w:val="0"/>
              <w:autoSpaceDN w:val="0"/>
              <w:adjustRightInd w:val="0"/>
              <w:ind w:left="0"/>
              <w:jc w:val="both"/>
              <w:rPr>
                <w:b/>
                <w:i/>
                <w:color w:val="000000" w:themeColor="text1"/>
                <w:lang w:val="es-MX"/>
              </w:rPr>
            </w:pPr>
            <w:r w:rsidRPr="0094608F">
              <w:rPr>
                <w:b/>
                <w:i/>
                <w:color w:val="000000" w:themeColor="text1"/>
                <w:lang w:val="es-MX"/>
              </w:rPr>
              <w:t>Alumnos/as</w:t>
            </w:r>
          </w:p>
        </w:tc>
        <w:tc>
          <w:tcPr>
            <w:tcW w:w="3636" w:type="dxa"/>
          </w:tcPr>
          <w:p w:rsidR="0094608F" w:rsidRPr="0094608F" w:rsidRDefault="0094608F" w:rsidP="00A04760">
            <w:pPr>
              <w:pStyle w:val="Prrafodelista"/>
              <w:autoSpaceDE w:val="0"/>
              <w:autoSpaceDN w:val="0"/>
              <w:adjustRightInd w:val="0"/>
              <w:ind w:left="0"/>
              <w:jc w:val="both"/>
              <w:rPr>
                <w:b/>
                <w:i/>
                <w:color w:val="000000" w:themeColor="text1"/>
                <w:lang w:val="es-MX"/>
              </w:rPr>
            </w:pPr>
            <w:r w:rsidRPr="0094608F">
              <w:rPr>
                <w:b/>
                <w:i/>
                <w:color w:val="000000" w:themeColor="text1"/>
                <w:lang w:val="es-MX"/>
              </w:rPr>
              <w:t>Nivel Educativo</w:t>
            </w:r>
          </w:p>
        </w:tc>
      </w:tr>
      <w:tr w:rsidR="0094608F" w:rsidRPr="0094608F" w:rsidTr="00A04760">
        <w:trPr>
          <w:jc w:val="center"/>
        </w:trPr>
        <w:tc>
          <w:tcPr>
            <w:tcW w:w="1661" w:type="dxa"/>
          </w:tcPr>
          <w:p w:rsidR="0094608F" w:rsidRPr="0094608F" w:rsidRDefault="0094608F" w:rsidP="00A04760">
            <w:pPr>
              <w:pStyle w:val="Prrafodelista"/>
              <w:autoSpaceDE w:val="0"/>
              <w:autoSpaceDN w:val="0"/>
              <w:adjustRightInd w:val="0"/>
              <w:ind w:left="0"/>
              <w:jc w:val="both"/>
              <w:rPr>
                <w:i/>
                <w:color w:val="000000" w:themeColor="text1"/>
                <w:lang w:val="es-MX"/>
              </w:rPr>
            </w:pPr>
            <w:r w:rsidRPr="0094608F">
              <w:rPr>
                <w:i/>
                <w:color w:val="000000" w:themeColor="text1"/>
                <w:lang w:val="es-MX"/>
              </w:rPr>
              <w:t>904.961</w:t>
            </w:r>
          </w:p>
        </w:tc>
        <w:tc>
          <w:tcPr>
            <w:tcW w:w="3636" w:type="dxa"/>
          </w:tcPr>
          <w:p w:rsidR="0094608F" w:rsidRPr="0094608F" w:rsidRDefault="0094608F" w:rsidP="00A04760">
            <w:pPr>
              <w:pStyle w:val="Prrafodelista"/>
              <w:autoSpaceDE w:val="0"/>
              <w:autoSpaceDN w:val="0"/>
              <w:adjustRightInd w:val="0"/>
              <w:ind w:left="0"/>
              <w:jc w:val="both"/>
              <w:rPr>
                <w:i/>
                <w:color w:val="000000" w:themeColor="text1"/>
                <w:lang w:val="es-MX"/>
              </w:rPr>
            </w:pPr>
            <w:r w:rsidRPr="0094608F">
              <w:rPr>
                <w:i/>
                <w:color w:val="000000" w:themeColor="text1"/>
                <w:lang w:val="es-MX"/>
              </w:rPr>
              <w:t>Educación Inicial y Escolar Básica</w:t>
            </w:r>
          </w:p>
        </w:tc>
      </w:tr>
      <w:tr w:rsidR="0094608F" w:rsidRPr="0094608F" w:rsidTr="00A04760">
        <w:trPr>
          <w:jc w:val="center"/>
        </w:trPr>
        <w:tc>
          <w:tcPr>
            <w:tcW w:w="1661" w:type="dxa"/>
          </w:tcPr>
          <w:p w:rsidR="0094608F" w:rsidRPr="0094608F" w:rsidRDefault="0094608F" w:rsidP="00A04760">
            <w:pPr>
              <w:pStyle w:val="Prrafodelista"/>
              <w:autoSpaceDE w:val="0"/>
              <w:autoSpaceDN w:val="0"/>
              <w:adjustRightInd w:val="0"/>
              <w:ind w:left="0"/>
              <w:jc w:val="both"/>
              <w:rPr>
                <w:i/>
                <w:color w:val="000000" w:themeColor="text1"/>
                <w:lang w:val="es-MX"/>
              </w:rPr>
            </w:pPr>
            <w:r w:rsidRPr="0094608F">
              <w:rPr>
                <w:i/>
                <w:color w:val="000000" w:themeColor="text1"/>
                <w:lang w:val="es-MX"/>
              </w:rPr>
              <w:t>218.725</w:t>
            </w:r>
          </w:p>
        </w:tc>
        <w:tc>
          <w:tcPr>
            <w:tcW w:w="3636" w:type="dxa"/>
          </w:tcPr>
          <w:p w:rsidR="0094608F" w:rsidRPr="0094608F" w:rsidRDefault="0094608F" w:rsidP="00A04760">
            <w:pPr>
              <w:pStyle w:val="Prrafodelista"/>
              <w:autoSpaceDE w:val="0"/>
              <w:autoSpaceDN w:val="0"/>
              <w:adjustRightInd w:val="0"/>
              <w:ind w:left="0"/>
              <w:jc w:val="both"/>
              <w:rPr>
                <w:i/>
                <w:color w:val="000000" w:themeColor="text1"/>
                <w:lang w:val="es-MX"/>
              </w:rPr>
            </w:pPr>
            <w:r w:rsidRPr="0094608F">
              <w:rPr>
                <w:i/>
                <w:color w:val="000000" w:themeColor="text1"/>
                <w:lang w:val="es-MX"/>
              </w:rPr>
              <w:t>Educación Media</w:t>
            </w:r>
          </w:p>
        </w:tc>
      </w:tr>
      <w:tr w:rsidR="0094608F" w:rsidRPr="0094608F" w:rsidTr="00A04760">
        <w:trPr>
          <w:jc w:val="center"/>
        </w:trPr>
        <w:tc>
          <w:tcPr>
            <w:tcW w:w="1661" w:type="dxa"/>
          </w:tcPr>
          <w:p w:rsidR="0094608F" w:rsidRPr="0094608F" w:rsidRDefault="0094608F" w:rsidP="00A04760">
            <w:pPr>
              <w:pStyle w:val="Prrafodelista"/>
              <w:autoSpaceDE w:val="0"/>
              <w:autoSpaceDN w:val="0"/>
              <w:adjustRightInd w:val="0"/>
              <w:ind w:left="0"/>
              <w:jc w:val="both"/>
              <w:rPr>
                <w:i/>
                <w:color w:val="000000" w:themeColor="text1"/>
                <w:lang w:val="es-MX"/>
              </w:rPr>
            </w:pPr>
            <w:r w:rsidRPr="0094608F">
              <w:rPr>
                <w:i/>
                <w:color w:val="000000" w:themeColor="text1"/>
                <w:lang w:val="es-MX"/>
              </w:rPr>
              <w:t>107.210</w:t>
            </w:r>
          </w:p>
        </w:tc>
        <w:tc>
          <w:tcPr>
            <w:tcW w:w="3636" w:type="dxa"/>
          </w:tcPr>
          <w:p w:rsidR="0094608F" w:rsidRPr="0094608F" w:rsidRDefault="0094608F" w:rsidP="00A04760">
            <w:pPr>
              <w:pStyle w:val="Prrafodelista"/>
              <w:autoSpaceDE w:val="0"/>
              <w:autoSpaceDN w:val="0"/>
              <w:adjustRightInd w:val="0"/>
              <w:ind w:left="0"/>
              <w:jc w:val="both"/>
              <w:rPr>
                <w:i/>
                <w:color w:val="000000" w:themeColor="text1"/>
                <w:lang w:val="es-MX"/>
              </w:rPr>
            </w:pPr>
            <w:r w:rsidRPr="0094608F">
              <w:rPr>
                <w:i/>
                <w:color w:val="000000" w:themeColor="text1"/>
                <w:lang w:val="es-MX"/>
              </w:rPr>
              <w:t>Educación Permanente</w:t>
            </w:r>
          </w:p>
        </w:tc>
      </w:tr>
      <w:tr w:rsidR="0094608F" w:rsidRPr="0094608F" w:rsidTr="00A04760">
        <w:trPr>
          <w:jc w:val="center"/>
        </w:trPr>
        <w:tc>
          <w:tcPr>
            <w:tcW w:w="1661" w:type="dxa"/>
          </w:tcPr>
          <w:p w:rsidR="0094608F" w:rsidRPr="0094608F" w:rsidRDefault="0094608F" w:rsidP="00A04760">
            <w:pPr>
              <w:pStyle w:val="Prrafodelista"/>
              <w:autoSpaceDE w:val="0"/>
              <w:autoSpaceDN w:val="0"/>
              <w:adjustRightInd w:val="0"/>
              <w:ind w:left="0"/>
              <w:jc w:val="both"/>
              <w:rPr>
                <w:b/>
                <w:i/>
                <w:color w:val="000000" w:themeColor="text1"/>
                <w:lang w:val="es-MX"/>
              </w:rPr>
            </w:pPr>
            <w:r w:rsidRPr="0094608F">
              <w:rPr>
                <w:b/>
                <w:i/>
                <w:color w:val="000000" w:themeColor="text1"/>
                <w:lang w:val="es-MX"/>
              </w:rPr>
              <w:t>1.230.896</w:t>
            </w:r>
          </w:p>
        </w:tc>
        <w:tc>
          <w:tcPr>
            <w:tcW w:w="3636" w:type="dxa"/>
          </w:tcPr>
          <w:p w:rsidR="0094608F" w:rsidRPr="0094608F" w:rsidRDefault="0094608F" w:rsidP="00A04760">
            <w:pPr>
              <w:pStyle w:val="Prrafodelista"/>
              <w:autoSpaceDE w:val="0"/>
              <w:autoSpaceDN w:val="0"/>
              <w:adjustRightInd w:val="0"/>
              <w:ind w:left="0"/>
              <w:jc w:val="both"/>
              <w:rPr>
                <w:b/>
                <w:i/>
                <w:color w:val="000000" w:themeColor="text1"/>
                <w:lang w:val="es-MX"/>
              </w:rPr>
            </w:pPr>
            <w:r w:rsidRPr="0094608F">
              <w:rPr>
                <w:b/>
                <w:i/>
                <w:color w:val="000000" w:themeColor="text1"/>
                <w:lang w:val="es-MX"/>
              </w:rPr>
              <w:t>Total</w:t>
            </w:r>
          </w:p>
        </w:tc>
      </w:tr>
    </w:tbl>
    <w:p w:rsidR="0094608F" w:rsidRPr="0094608F" w:rsidRDefault="0094608F" w:rsidP="0094608F">
      <w:pPr>
        <w:pStyle w:val="Prrafodelista"/>
        <w:autoSpaceDE w:val="0"/>
        <w:autoSpaceDN w:val="0"/>
        <w:adjustRightInd w:val="0"/>
        <w:jc w:val="both"/>
        <w:rPr>
          <w:i/>
          <w:color w:val="000000" w:themeColor="text1"/>
          <w:lang w:val="es-MX"/>
        </w:rPr>
      </w:pPr>
    </w:p>
    <w:p w:rsidR="0094608F" w:rsidRPr="0094608F" w:rsidRDefault="0094608F" w:rsidP="0094608F">
      <w:pPr>
        <w:pStyle w:val="Prrafodelista"/>
        <w:numPr>
          <w:ilvl w:val="0"/>
          <w:numId w:val="14"/>
        </w:numPr>
        <w:autoSpaceDE w:val="0"/>
        <w:autoSpaceDN w:val="0"/>
        <w:adjustRightInd w:val="0"/>
        <w:jc w:val="both"/>
        <w:rPr>
          <w:i/>
          <w:color w:val="000000" w:themeColor="text1"/>
          <w:lang w:val="es-MX"/>
        </w:rPr>
      </w:pPr>
      <w:r w:rsidRPr="0094608F">
        <w:rPr>
          <w:i/>
          <w:color w:val="000000" w:themeColor="text1"/>
          <w:lang w:val="es-MX"/>
        </w:rPr>
        <w:t>Entrega de Textos y Guías didácticas:</w:t>
      </w:r>
    </w:p>
    <w:p w:rsidR="0094608F" w:rsidRPr="0094608F" w:rsidRDefault="0094608F" w:rsidP="0094608F">
      <w:pPr>
        <w:pStyle w:val="Prrafodelista"/>
        <w:autoSpaceDE w:val="0"/>
        <w:autoSpaceDN w:val="0"/>
        <w:adjustRightInd w:val="0"/>
        <w:jc w:val="both"/>
        <w:rPr>
          <w:i/>
          <w:color w:val="000000" w:themeColor="text1"/>
          <w:lang w:val="es-MX"/>
        </w:rPr>
      </w:pPr>
    </w:p>
    <w:tbl>
      <w:tblPr>
        <w:tblStyle w:val="Tablaconcuadrcula"/>
        <w:tblW w:w="5480" w:type="dxa"/>
        <w:jc w:val="center"/>
        <w:tblLook w:val="04A0" w:firstRow="1" w:lastRow="0" w:firstColumn="1" w:lastColumn="0" w:noHBand="0" w:noVBand="1"/>
      </w:tblPr>
      <w:tblGrid>
        <w:gridCol w:w="1937"/>
        <w:gridCol w:w="3543"/>
      </w:tblGrid>
      <w:tr w:rsidR="0094608F" w:rsidRPr="0094608F" w:rsidTr="00A04760">
        <w:trPr>
          <w:jc w:val="center"/>
        </w:trPr>
        <w:tc>
          <w:tcPr>
            <w:tcW w:w="1937" w:type="dxa"/>
          </w:tcPr>
          <w:p w:rsidR="0094608F" w:rsidRPr="0094608F" w:rsidRDefault="0094608F" w:rsidP="00A04760">
            <w:pPr>
              <w:pStyle w:val="Prrafodelista"/>
              <w:autoSpaceDE w:val="0"/>
              <w:autoSpaceDN w:val="0"/>
              <w:adjustRightInd w:val="0"/>
              <w:ind w:left="0"/>
              <w:jc w:val="both"/>
              <w:rPr>
                <w:b/>
                <w:i/>
                <w:color w:val="000000" w:themeColor="text1"/>
                <w:lang w:val="es-MX"/>
              </w:rPr>
            </w:pPr>
            <w:r w:rsidRPr="0094608F">
              <w:rPr>
                <w:b/>
                <w:i/>
                <w:color w:val="000000" w:themeColor="text1"/>
                <w:lang w:val="es-MX"/>
              </w:rPr>
              <w:t>Textos y Guías</w:t>
            </w:r>
          </w:p>
        </w:tc>
        <w:tc>
          <w:tcPr>
            <w:tcW w:w="3543" w:type="dxa"/>
          </w:tcPr>
          <w:p w:rsidR="0094608F" w:rsidRPr="0094608F" w:rsidRDefault="0094608F" w:rsidP="00A04760">
            <w:pPr>
              <w:pStyle w:val="Prrafodelista"/>
              <w:autoSpaceDE w:val="0"/>
              <w:autoSpaceDN w:val="0"/>
              <w:adjustRightInd w:val="0"/>
              <w:ind w:left="0"/>
              <w:jc w:val="both"/>
              <w:rPr>
                <w:b/>
                <w:i/>
                <w:color w:val="000000" w:themeColor="text1"/>
                <w:lang w:val="es-MX"/>
              </w:rPr>
            </w:pPr>
            <w:r w:rsidRPr="0094608F">
              <w:rPr>
                <w:b/>
                <w:i/>
                <w:color w:val="000000" w:themeColor="text1"/>
                <w:lang w:val="es-MX"/>
              </w:rPr>
              <w:t>Beneficiario</w:t>
            </w:r>
          </w:p>
        </w:tc>
      </w:tr>
      <w:tr w:rsidR="0094608F" w:rsidRPr="0094608F" w:rsidTr="00A04760">
        <w:trPr>
          <w:jc w:val="center"/>
        </w:trPr>
        <w:tc>
          <w:tcPr>
            <w:tcW w:w="1937" w:type="dxa"/>
          </w:tcPr>
          <w:p w:rsidR="0094608F" w:rsidRPr="0094608F" w:rsidRDefault="0094608F" w:rsidP="00A04760">
            <w:pPr>
              <w:pStyle w:val="Prrafodelista"/>
              <w:autoSpaceDE w:val="0"/>
              <w:autoSpaceDN w:val="0"/>
              <w:adjustRightInd w:val="0"/>
              <w:ind w:left="0"/>
              <w:jc w:val="center"/>
              <w:rPr>
                <w:i/>
                <w:color w:val="000000" w:themeColor="text1"/>
                <w:lang w:val="es-MX"/>
              </w:rPr>
            </w:pPr>
            <w:r w:rsidRPr="0094608F">
              <w:rPr>
                <w:i/>
                <w:color w:val="000000" w:themeColor="text1"/>
                <w:lang w:val="es-MX"/>
              </w:rPr>
              <w:t>621.690</w:t>
            </w:r>
          </w:p>
        </w:tc>
        <w:tc>
          <w:tcPr>
            <w:tcW w:w="3543" w:type="dxa"/>
          </w:tcPr>
          <w:p w:rsidR="0094608F" w:rsidRPr="0094608F" w:rsidRDefault="0094608F" w:rsidP="00A04760">
            <w:pPr>
              <w:pStyle w:val="Prrafodelista"/>
              <w:autoSpaceDE w:val="0"/>
              <w:autoSpaceDN w:val="0"/>
              <w:adjustRightInd w:val="0"/>
              <w:ind w:left="0"/>
              <w:jc w:val="both"/>
              <w:rPr>
                <w:i/>
                <w:color w:val="000000" w:themeColor="text1"/>
                <w:lang w:val="es-MX"/>
              </w:rPr>
            </w:pPr>
            <w:r w:rsidRPr="0094608F">
              <w:rPr>
                <w:i/>
                <w:color w:val="000000" w:themeColor="text1"/>
                <w:lang w:val="es-MX"/>
              </w:rPr>
              <w:t>69.077 alumnos del tercer ciclo</w:t>
            </w:r>
          </w:p>
        </w:tc>
      </w:tr>
      <w:tr w:rsidR="0094608F" w:rsidRPr="0094608F" w:rsidTr="00A04760">
        <w:trPr>
          <w:jc w:val="center"/>
        </w:trPr>
        <w:tc>
          <w:tcPr>
            <w:tcW w:w="1937" w:type="dxa"/>
          </w:tcPr>
          <w:p w:rsidR="0094608F" w:rsidRPr="0094608F" w:rsidRDefault="0094608F" w:rsidP="00A04760">
            <w:pPr>
              <w:pStyle w:val="Prrafodelista"/>
              <w:autoSpaceDE w:val="0"/>
              <w:autoSpaceDN w:val="0"/>
              <w:adjustRightInd w:val="0"/>
              <w:ind w:left="0"/>
              <w:jc w:val="center"/>
              <w:rPr>
                <w:i/>
                <w:color w:val="000000" w:themeColor="text1"/>
                <w:lang w:val="es-MX"/>
              </w:rPr>
            </w:pPr>
            <w:r w:rsidRPr="0094608F">
              <w:rPr>
                <w:i/>
                <w:color w:val="000000" w:themeColor="text1"/>
                <w:lang w:val="es-MX"/>
              </w:rPr>
              <w:t>96.725</w:t>
            </w:r>
          </w:p>
        </w:tc>
        <w:tc>
          <w:tcPr>
            <w:tcW w:w="3543" w:type="dxa"/>
          </w:tcPr>
          <w:p w:rsidR="0094608F" w:rsidRPr="0094608F" w:rsidRDefault="0094608F" w:rsidP="00A04760">
            <w:pPr>
              <w:pStyle w:val="Prrafodelista"/>
              <w:autoSpaceDE w:val="0"/>
              <w:autoSpaceDN w:val="0"/>
              <w:adjustRightInd w:val="0"/>
              <w:ind w:left="0"/>
              <w:jc w:val="both"/>
              <w:rPr>
                <w:i/>
                <w:color w:val="000000" w:themeColor="text1"/>
                <w:lang w:val="es-MX"/>
              </w:rPr>
            </w:pPr>
            <w:r w:rsidRPr="0094608F">
              <w:rPr>
                <w:i/>
                <w:color w:val="000000" w:themeColor="text1"/>
                <w:lang w:val="es-MX"/>
              </w:rPr>
              <w:t>365 Instituciones educativas</w:t>
            </w:r>
          </w:p>
        </w:tc>
      </w:tr>
      <w:tr w:rsidR="0094608F" w:rsidRPr="0094608F" w:rsidTr="00A04760">
        <w:trPr>
          <w:jc w:val="center"/>
        </w:trPr>
        <w:tc>
          <w:tcPr>
            <w:tcW w:w="1937" w:type="dxa"/>
          </w:tcPr>
          <w:p w:rsidR="0094608F" w:rsidRPr="0094608F" w:rsidRDefault="0094608F" w:rsidP="00A04760">
            <w:pPr>
              <w:pStyle w:val="Prrafodelista"/>
              <w:autoSpaceDE w:val="0"/>
              <w:autoSpaceDN w:val="0"/>
              <w:adjustRightInd w:val="0"/>
              <w:ind w:left="0"/>
              <w:jc w:val="center"/>
              <w:rPr>
                <w:i/>
                <w:color w:val="000000" w:themeColor="text1"/>
                <w:lang w:val="es-MX"/>
              </w:rPr>
            </w:pPr>
            <w:r w:rsidRPr="0094608F">
              <w:rPr>
                <w:i/>
                <w:color w:val="000000" w:themeColor="text1"/>
                <w:lang w:val="es-MX"/>
              </w:rPr>
              <w:t>78.200</w:t>
            </w:r>
          </w:p>
        </w:tc>
        <w:tc>
          <w:tcPr>
            <w:tcW w:w="3543" w:type="dxa"/>
          </w:tcPr>
          <w:p w:rsidR="0094608F" w:rsidRPr="0094608F" w:rsidRDefault="0094608F" w:rsidP="00A04760">
            <w:pPr>
              <w:pStyle w:val="Prrafodelista"/>
              <w:autoSpaceDE w:val="0"/>
              <w:autoSpaceDN w:val="0"/>
              <w:adjustRightInd w:val="0"/>
              <w:ind w:left="0"/>
              <w:jc w:val="both"/>
              <w:rPr>
                <w:i/>
                <w:color w:val="000000" w:themeColor="text1"/>
                <w:lang w:val="es-MX"/>
              </w:rPr>
            </w:pPr>
            <w:r w:rsidRPr="0094608F">
              <w:rPr>
                <w:i/>
                <w:color w:val="000000" w:themeColor="text1"/>
                <w:lang w:val="es-MX"/>
              </w:rPr>
              <w:t>Educación Permanente</w:t>
            </w:r>
          </w:p>
        </w:tc>
      </w:tr>
      <w:tr w:rsidR="0094608F" w:rsidRPr="0094608F" w:rsidTr="00A04760">
        <w:trPr>
          <w:jc w:val="center"/>
        </w:trPr>
        <w:tc>
          <w:tcPr>
            <w:tcW w:w="1937" w:type="dxa"/>
          </w:tcPr>
          <w:p w:rsidR="0094608F" w:rsidRPr="0094608F" w:rsidRDefault="0094608F" w:rsidP="00A04760">
            <w:pPr>
              <w:pStyle w:val="Prrafodelista"/>
              <w:autoSpaceDE w:val="0"/>
              <w:autoSpaceDN w:val="0"/>
              <w:adjustRightInd w:val="0"/>
              <w:ind w:left="0"/>
              <w:jc w:val="center"/>
              <w:rPr>
                <w:b/>
                <w:i/>
                <w:color w:val="000000" w:themeColor="text1"/>
                <w:lang w:val="es-MX"/>
              </w:rPr>
            </w:pPr>
            <w:r w:rsidRPr="0094608F">
              <w:rPr>
                <w:i/>
                <w:color w:val="000000" w:themeColor="text1"/>
                <w:lang w:val="es-MX"/>
              </w:rPr>
              <w:t>2.019.445</w:t>
            </w:r>
          </w:p>
        </w:tc>
        <w:tc>
          <w:tcPr>
            <w:tcW w:w="3543" w:type="dxa"/>
          </w:tcPr>
          <w:p w:rsidR="0094608F" w:rsidRPr="0094608F" w:rsidRDefault="0094608F" w:rsidP="00A04760">
            <w:pPr>
              <w:pStyle w:val="Prrafodelista"/>
              <w:autoSpaceDE w:val="0"/>
              <w:autoSpaceDN w:val="0"/>
              <w:adjustRightInd w:val="0"/>
              <w:ind w:left="0"/>
              <w:jc w:val="both"/>
              <w:rPr>
                <w:b/>
                <w:i/>
                <w:color w:val="000000" w:themeColor="text1"/>
                <w:lang w:val="es-MX"/>
              </w:rPr>
            </w:pPr>
            <w:r w:rsidRPr="0094608F">
              <w:rPr>
                <w:i/>
                <w:color w:val="000000" w:themeColor="text1"/>
                <w:lang w:val="es-MX"/>
              </w:rPr>
              <w:t>Estudiantes y Docentes</w:t>
            </w:r>
          </w:p>
        </w:tc>
      </w:tr>
      <w:tr w:rsidR="0094608F" w:rsidRPr="0094608F" w:rsidTr="00A04760">
        <w:trPr>
          <w:jc w:val="center"/>
        </w:trPr>
        <w:tc>
          <w:tcPr>
            <w:tcW w:w="1937" w:type="dxa"/>
          </w:tcPr>
          <w:p w:rsidR="0094608F" w:rsidRPr="0094608F" w:rsidRDefault="0094608F" w:rsidP="00A04760">
            <w:pPr>
              <w:pStyle w:val="Prrafodelista"/>
              <w:autoSpaceDE w:val="0"/>
              <w:autoSpaceDN w:val="0"/>
              <w:adjustRightInd w:val="0"/>
              <w:ind w:left="0"/>
              <w:jc w:val="center"/>
              <w:rPr>
                <w:b/>
                <w:i/>
                <w:color w:val="000000" w:themeColor="text1"/>
                <w:lang w:val="es-MX"/>
              </w:rPr>
            </w:pPr>
            <w:r w:rsidRPr="0094608F">
              <w:rPr>
                <w:b/>
                <w:i/>
                <w:color w:val="000000" w:themeColor="text1"/>
                <w:lang w:val="es-MX"/>
              </w:rPr>
              <w:t>2.816.060</w:t>
            </w:r>
          </w:p>
        </w:tc>
        <w:tc>
          <w:tcPr>
            <w:tcW w:w="3543" w:type="dxa"/>
          </w:tcPr>
          <w:p w:rsidR="0094608F" w:rsidRPr="0094608F" w:rsidRDefault="0094608F" w:rsidP="00A04760">
            <w:pPr>
              <w:pStyle w:val="Prrafodelista"/>
              <w:autoSpaceDE w:val="0"/>
              <w:autoSpaceDN w:val="0"/>
              <w:adjustRightInd w:val="0"/>
              <w:ind w:left="0"/>
              <w:jc w:val="center"/>
              <w:rPr>
                <w:b/>
                <w:i/>
                <w:color w:val="000000" w:themeColor="text1"/>
                <w:lang w:val="es-MX"/>
              </w:rPr>
            </w:pPr>
            <w:r w:rsidRPr="0094608F">
              <w:rPr>
                <w:b/>
                <w:i/>
                <w:color w:val="000000" w:themeColor="text1"/>
                <w:lang w:val="es-MX"/>
              </w:rPr>
              <w:t>Total</w:t>
            </w:r>
          </w:p>
        </w:tc>
      </w:tr>
    </w:tbl>
    <w:p w:rsidR="0094608F" w:rsidRPr="0094608F" w:rsidRDefault="0094608F" w:rsidP="0094608F">
      <w:pPr>
        <w:pStyle w:val="Prrafodelista"/>
        <w:autoSpaceDE w:val="0"/>
        <w:autoSpaceDN w:val="0"/>
        <w:adjustRightInd w:val="0"/>
        <w:jc w:val="both"/>
        <w:rPr>
          <w:i/>
          <w:color w:val="000000" w:themeColor="text1"/>
          <w:lang w:val="es-MX"/>
        </w:rPr>
      </w:pPr>
    </w:p>
    <w:p w:rsidR="0094608F" w:rsidRPr="0094608F" w:rsidRDefault="0094608F" w:rsidP="0094608F">
      <w:pPr>
        <w:pStyle w:val="Prrafodelista"/>
        <w:numPr>
          <w:ilvl w:val="0"/>
          <w:numId w:val="14"/>
        </w:numPr>
        <w:autoSpaceDE w:val="0"/>
        <w:autoSpaceDN w:val="0"/>
        <w:adjustRightInd w:val="0"/>
        <w:jc w:val="both"/>
        <w:rPr>
          <w:i/>
          <w:color w:val="000000" w:themeColor="text1"/>
          <w:lang w:val="es-MX"/>
        </w:rPr>
      </w:pPr>
      <w:r w:rsidRPr="0094608F">
        <w:rPr>
          <w:i/>
          <w:color w:val="000000" w:themeColor="text1"/>
          <w:lang w:val="es-MX"/>
        </w:rPr>
        <w:t>Inversión en Infraestructura para Educación</w:t>
      </w:r>
    </w:p>
    <w:p w:rsidR="0094608F" w:rsidRPr="0094608F" w:rsidRDefault="0094608F" w:rsidP="0094608F">
      <w:pPr>
        <w:pStyle w:val="Prrafodelista"/>
        <w:autoSpaceDE w:val="0"/>
        <w:autoSpaceDN w:val="0"/>
        <w:adjustRightInd w:val="0"/>
        <w:jc w:val="both"/>
        <w:rPr>
          <w:i/>
          <w:color w:val="000000" w:themeColor="text1"/>
          <w:lang w:val="es-MX"/>
        </w:rPr>
      </w:pPr>
    </w:p>
    <w:tbl>
      <w:tblPr>
        <w:tblStyle w:val="Tablaconcuadrcula"/>
        <w:tblW w:w="0" w:type="auto"/>
        <w:jc w:val="center"/>
        <w:tblLook w:val="04A0" w:firstRow="1" w:lastRow="0" w:firstColumn="1" w:lastColumn="0" w:noHBand="0" w:noVBand="1"/>
      </w:tblPr>
      <w:tblGrid>
        <w:gridCol w:w="12"/>
        <w:gridCol w:w="1095"/>
        <w:gridCol w:w="12"/>
        <w:gridCol w:w="6646"/>
        <w:gridCol w:w="12"/>
      </w:tblGrid>
      <w:tr w:rsidR="0094608F" w:rsidRPr="0094608F" w:rsidTr="00A04760">
        <w:trPr>
          <w:gridBefore w:val="1"/>
          <w:wBefore w:w="12" w:type="dxa"/>
          <w:jc w:val="center"/>
        </w:trPr>
        <w:tc>
          <w:tcPr>
            <w:tcW w:w="1107" w:type="dxa"/>
            <w:gridSpan w:val="2"/>
          </w:tcPr>
          <w:p w:rsidR="0094608F" w:rsidRPr="0094608F" w:rsidRDefault="0094608F" w:rsidP="00A04760">
            <w:pPr>
              <w:pStyle w:val="Prrafodelista"/>
              <w:autoSpaceDE w:val="0"/>
              <w:autoSpaceDN w:val="0"/>
              <w:adjustRightInd w:val="0"/>
              <w:ind w:left="0"/>
              <w:jc w:val="center"/>
              <w:rPr>
                <w:b/>
                <w:i/>
                <w:color w:val="000000" w:themeColor="text1"/>
                <w:lang w:val="es-MX"/>
              </w:rPr>
            </w:pPr>
            <w:r w:rsidRPr="0094608F">
              <w:rPr>
                <w:b/>
                <w:i/>
                <w:color w:val="000000" w:themeColor="text1"/>
                <w:lang w:val="es-MX"/>
              </w:rPr>
              <w:t>Cantidad</w:t>
            </w:r>
          </w:p>
        </w:tc>
        <w:tc>
          <w:tcPr>
            <w:tcW w:w="6658" w:type="dxa"/>
            <w:gridSpan w:val="2"/>
          </w:tcPr>
          <w:p w:rsidR="0094608F" w:rsidRPr="0094608F" w:rsidRDefault="0094608F" w:rsidP="00A04760">
            <w:pPr>
              <w:pStyle w:val="Prrafodelista"/>
              <w:autoSpaceDE w:val="0"/>
              <w:autoSpaceDN w:val="0"/>
              <w:adjustRightInd w:val="0"/>
              <w:ind w:left="0"/>
              <w:jc w:val="center"/>
              <w:rPr>
                <w:b/>
                <w:i/>
                <w:color w:val="000000" w:themeColor="text1"/>
                <w:lang w:val="es-MX"/>
              </w:rPr>
            </w:pPr>
            <w:r w:rsidRPr="0094608F">
              <w:rPr>
                <w:b/>
                <w:i/>
                <w:color w:val="000000" w:themeColor="text1"/>
                <w:lang w:val="es-MX"/>
              </w:rPr>
              <w:t>Concepto</w:t>
            </w:r>
          </w:p>
        </w:tc>
      </w:tr>
      <w:tr w:rsidR="0094608F" w:rsidRPr="0094608F" w:rsidTr="00A04760">
        <w:trPr>
          <w:gridAfter w:val="1"/>
          <w:wAfter w:w="12" w:type="dxa"/>
          <w:jc w:val="center"/>
        </w:trPr>
        <w:tc>
          <w:tcPr>
            <w:tcW w:w="1107" w:type="dxa"/>
            <w:gridSpan w:val="2"/>
            <w:shd w:val="clear" w:color="auto" w:fill="auto"/>
          </w:tcPr>
          <w:p w:rsidR="0094608F" w:rsidRPr="0094608F" w:rsidRDefault="0094608F" w:rsidP="00A04760">
            <w:pPr>
              <w:pStyle w:val="Prrafodelista"/>
              <w:autoSpaceDE w:val="0"/>
              <w:autoSpaceDN w:val="0"/>
              <w:adjustRightInd w:val="0"/>
              <w:ind w:left="0"/>
              <w:jc w:val="center"/>
              <w:rPr>
                <w:i/>
                <w:color w:val="000000" w:themeColor="text1"/>
                <w:lang w:val="es-MX"/>
              </w:rPr>
            </w:pPr>
            <w:r w:rsidRPr="0094608F">
              <w:rPr>
                <w:i/>
                <w:color w:val="000000" w:themeColor="text1"/>
                <w:lang w:val="es-MX"/>
              </w:rPr>
              <w:t>978</w:t>
            </w:r>
          </w:p>
        </w:tc>
        <w:tc>
          <w:tcPr>
            <w:tcW w:w="6658" w:type="dxa"/>
            <w:gridSpan w:val="2"/>
          </w:tcPr>
          <w:p w:rsidR="0094608F" w:rsidRPr="0094608F" w:rsidRDefault="0094608F" w:rsidP="00A04760">
            <w:pPr>
              <w:autoSpaceDE w:val="0"/>
              <w:autoSpaceDN w:val="0"/>
              <w:adjustRightInd w:val="0"/>
              <w:rPr>
                <w:i/>
                <w:color w:val="000000" w:themeColor="text1"/>
                <w:lang w:val="es-MX"/>
              </w:rPr>
            </w:pPr>
            <w:r w:rsidRPr="0094608F">
              <w:rPr>
                <w:i/>
                <w:color w:val="000000" w:themeColor="text1"/>
                <w:lang w:val="es-MX"/>
              </w:rPr>
              <w:t>Instituciones Educativas equipadas con TIC</w:t>
            </w:r>
          </w:p>
        </w:tc>
      </w:tr>
      <w:tr w:rsidR="0094608F" w:rsidRPr="0094608F" w:rsidTr="00A04760">
        <w:trPr>
          <w:gridAfter w:val="1"/>
          <w:wAfter w:w="12" w:type="dxa"/>
          <w:jc w:val="center"/>
        </w:trPr>
        <w:tc>
          <w:tcPr>
            <w:tcW w:w="1107" w:type="dxa"/>
            <w:gridSpan w:val="2"/>
            <w:shd w:val="clear" w:color="auto" w:fill="auto"/>
          </w:tcPr>
          <w:p w:rsidR="0094608F" w:rsidRPr="0094608F" w:rsidRDefault="0094608F" w:rsidP="00A04760">
            <w:pPr>
              <w:pStyle w:val="Prrafodelista"/>
              <w:autoSpaceDE w:val="0"/>
              <w:autoSpaceDN w:val="0"/>
              <w:adjustRightInd w:val="0"/>
              <w:ind w:left="0"/>
              <w:jc w:val="center"/>
              <w:rPr>
                <w:i/>
                <w:color w:val="000000" w:themeColor="text1"/>
                <w:lang w:val="es-MX"/>
              </w:rPr>
            </w:pPr>
            <w:r w:rsidRPr="0094608F">
              <w:rPr>
                <w:i/>
                <w:color w:val="000000" w:themeColor="text1"/>
                <w:lang w:val="es-MX"/>
              </w:rPr>
              <w:t>35</w:t>
            </w:r>
          </w:p>
        </w:tc>
        <w:tc>
          <w:tcPr>
            <w:tcW w:w="6658" w:type="dxa"/>
            <w:gridSpan w:val="2"/>
          </w:tcPr>
          <w:p w:rsidR="0094608F" w:rsidRPr="0094608F" w:rsidRDefault="0094608F" w:rsidP="00A04760">
            <w:pPr>
              <w:pStyle w:val="Prrafodelista"/>
              <w:autoSpaceDE w:val="0"/>
              <w:autoSpaceDN w:val="0"/>
              <w:adjustRightInd w:val="0"/>
              <w:ind w:left="0"/>
              <w:rPr>
                <w:i/>
                <w:color w:val="000000" w:themeColor="text1"/>
                <w:lang w:val="es-MX"/>
              </w:rPr>
            </w:pPr>
            <w:r w:rsidRPr="0094608F">
              <w:rPr>
                <w:i/>
                <w:color w:val="000000" w:themeColor="text1"/>
                <w:lang w:val="es-MX"/>
              </w:rPr>
              <w:t>Institutos de Formación Docente intervenidos en infraestructura</w:t>
            </w:r>
          </w:p>
        </w:tc>
      </w:tr>
      <w:tr w:rsidR="0094608F" w:rsidRPr="0094608F" w:rsidTr="00A04760">
        <w:trPr>
          <w:gridAfter w:val="1"/>
          <w:wAfter w:w="12" w:type="dxa"/>
          <w:jc w:val="center"/>
        </w:trPr>
        <w:tc>
          <w:tcPr>
            <w:tcW w:w="1107" w:type="dxa"/>
            <w:gridSpan w:val="2"/>
            <w:shd w:val="clear" w:color="auto" w:fill="auto"/>
          </w:tcPr>
          <w:p w:rsidR="0094608F" w:rsidRPr="0094608F" w:rsidRDefault="0094608F" w:rsidP="00A04760">
            <w:pPr>
              <w:pStyle w:val="Prrafodelista"/>
              <w:autoSpaceDE w:val="0"/>
              <w:autoSpaceDN w:val="0"/>
              <w:adjustRightInd w:val="0"/>
              <w:ind w:left="0"/>
              <w:jc w:val="center"/>
              <w:rPr>
                <w:i/>
                <w:color w:val="000000" w:themeColor="text1"/>
                <w:lang w:val="es-MX"/>
              </w:rPr>
            </w:pPr>
            <w:r w:rsidRPr="0094608F">
              <w:rPr>
                <w:i/>
                <w:color w:val="000000" w:themeColor="text1"/>
                <w:lang w:val="es-MX"/>
              </w:rPr>
              <w:t>30</w:t>
            </w:r>
          </w:p>
        </w:tc>
        <w:tc>
          <w:tcPr>
            <w:tcW w:w="6658" w:type="dxa"/>
            <w:gridSpan w:val="2"/>
          </w:tcPr>
          <w:p w:rsidR="0094608F" w:rsidRPr="0094608F" w:rsidRDefault="0094608F" w:rsidP="00A04760">
            <w:pPr>
              <w:pStyle w:val="Prrafodelista"/>
              <w:autoSpaceDE w:val="0"/>
              <w:autoSpaceDN w:val="0"/>
              <w:adjustRightInd w:val="0"/>
              <w:ind w:left="0"/>
              <w:rPr>
                <w:i/>
                <w:color w:val="000000" w:themeColor="text1"/>
                <w:lang w:val="es-MX"/>
              </w:rPr>
            </w:pPr>
            <w:r w:rsidRPr="0094608F">
              <w:rPr>
                <w:i/>
                <w:color w:val="000000" w:themeColor="text1"/>
                <w:lang w:val="es-MX"/>
              </w:rPr>
              <w:t>aulas temáticas instaladas en EM</w:t>
            </w:r>
          </w:p>
        </w:tc>
      </w:tr>
      <w:tr w:rsidR="0094608F" w:rsidRPr="0094608F" w:rsidTr="00A04760">
        <w:trPr>
          <w:gridAfter w:val="1"/>
          <w:wAfter w:w="12" w:type="dxa"/>
          <w:jc w:val="center"/>
        </w:trPr>
        <w:tc>
          <w:tcPr>
            <w:tcW w:w="1107" w:type="dxa"/>
            <w:gridSpan w:val="2"/>
            <w:shd w:val="clear" w:color="auto" w:fill="auto"/>
          </w:tcPr>
          <w:p w:rsidR="0094608F" w:rsidRPr="0094608F" w:rsidRDefault="0094608F" w:rsidP="00A04760">
            <w:pPr>
              <w:pStyle w:val="Prrafodelista"/>
              <w:autoSpaceDE w:val="0"/>
              <w:autoSpaceDN w:val="0"/>
              <w:adjustRightInd w:val="0"/>
              <w:ind w:left="0"/>
              <w:jc w:val="center"/>
              <w:rPr>
                <w:i/>
                <w:color w:val="000000" w:themeColor="text1"/>
                <w:lang w:val="es-MX"/>
              </w:rPr>
            </w:pPr>
            <w:r w:rsidRPr="0094608F">
              <w:rPr>
                <w:i/>
                <w:color w:val="000000" w:themeColor="text1"/>
                <w:lang w:val="es-MX"/>
              </w:rPr>
              <w:t>384</w:t>
            </w:r>
          </w:p>
        </w:tc>
        <w:tc>
          <w:tcPr>
            <w:tcW w:w="6658" w:type="dxa"/>
            <w:gridSpan w:val="2"/>
          </w:tcPr>
          <w:p w:rsidR="0094608F" w:rsidRPr="0094608F" w:rsidRDefault="0094608F" w:rsidP="00A04760">
            <w:pPr>
              <w:pStyle w:val="Prrafodelista"/>
              <w:autoSpaceDE w:val="0"/>
              <w:autoSpaceDN w:val="0"/>
              <w:adjustRightInd w:val="0"/>
              <w:ind w:left="0"/>
              <w:rPr>
                <w:i/>
                <w:color w:val="000000" w:themeColor="text1"/>
                <w:lang w:val="es-MX"/>
              </w:rPr>
            </w:pPr>
            <w:r w:rsidRPr="0094608F">
              <w:rPr>
                <w:i/>
                <w:color w:val="000000" w:themeColor="text1"/>
                <w:lang w:val="es-MX"/>
              </w:rPr>
              <w:t>aulas para EEB construidas</w:t>
            </w:r>
          </w:p>
        </w:tc>
      </w:tr>
      <w:tr w:rsidR="0094608F" w:rsidRPr="0094608F" w:rsidTr="00A04760">
        <w:trPr>
          <w:gridAfter w:val="1"/>
          <w:wAfter w:w="12" w:type="dxa"/>
          <w:jc w:val="center"/>
        </w:trPr>
        <w:tc>
          <w:tcPr>
            <w:tcW w:w="1107" w:type="dxa"/>
            <w:gridSpan w:val="2"/>
            <w:shd w:val="clear" w:color="auto" w:fill="auto"/>
          </w:tcPr>
          <w:p w:rsidR="0094608F" w:rsidRPr="0094608F" w:rsidRDefault="0094608F" w:rsidP="00A04760">
            <w:pPr>
              <w:pStyle w:val="Prrafodelista"/>
              <w:autoSpaceDE w:val="0"/>
              <w:autoSpaceDN w:val="0"/>
              <w:adjustRightInd w:val="0"/>
              <w:ind w:left="0"/>
              <w:jc w:val="center"/>
              <w:rPr>
                <w:i/>
                <w:color w:val="000000" w:themeColor="text1"/>
                <w:lang w:val="es-MX"/>
              </w:rPr>
            </w:pPr>
            <w:r w:rsidRPr="0094608F">
              <w:rPr>
                <w:i/>
                <w:color w:val="000000" w:themeColor="text1"/>
                <w:lang w:val="es-MX"/>
              </w:rPr>
              <w:t>33</w:t>
            </w:r>
          </w:p>
        </w:tc>
        <w:tc>
          <w:tcPr>
            <w:tcW w:w="6658" w:type="dxa"/>
            <w:gridSpan w:val="2"/>
          </w:tcPr>
          <w:p w:rsidR="0094608F" w:rsidRPr="0094608F" w:rsidRDefault="0094608F" w:rsidP="00A04760">
            <w:pPr>
              <w:pStyle w:val="Prrafodelista"/>
              <w:autoSpaceDE w:val="0"/>
              <w:autoSpaceDN w:val="0"/>
              <w:adjustRightInd w:val="0"/>
              <w:ind w:left="0"/>
              <w:rPr>
                <w:i/>
                <w:color w:val="000000" w:themeColor="text1"/>
                <w:lang w:val="es-MX"/>
              </w:rPr>
            </w:pPr>
            <w:r w:rsidRPr="0094608F">
              <w:rPr>
                <w:i/>
                <w:color w:val="000000" w:themeColor="text1"/>
                <w:lang w:val="es-MX"/>
              </w:rPr>
              <w:t>aulas para preescolar construidas</w:t>
            </w:r>
          </w:p>
        </w:tc>
      </w:tr>
      <w:tr w:rsidR="0094608F" w:rsidRPr="0094608F" w:rsidTr="00A04760">
        <w:trPr>
          <w:gridAfter w:val="1"/>
          <w:wAfter w:w="12" w:type="dxa"/>
          <w:jc w:val="center"/>
        </w:trPr>
        <w:tc>
          <w:tcPr>
            <w:tcW w:w="1107" w:type="dxa"/>
            <w:gridSpan w:val="2"/>
            <w:shd w:val="clear" w:color="auto" w:fill="auto"/>
          </w:tcPr>
          <w:p w:rsidR="0094608F" w:rsidRPr="0094608F" w:rsidRDefault="0094608F" w:rsidP="00A04760">
            <w:pPr>
              <w:pStyle w:val="Prrafodelista"/>
              <w:autoSpaceDE w:val="0"/>
              <w:autoSpaceDN w:val="0"/>
              <w:adjustRightInd w:val="0"/>
              <w:ind w:left="0"/>
              <w:jc w:val="center"/>
              <w:rPr>
                <w:i/>
                <w:color w:val="000000" w:themeColor="text1"/>
                <w:lang w:val="es-MX"/>
              </w:rPr>
            </w:pPr>
            <w:r w:rsidRPr="0094608F">
              <w:rPr>
                <w:i/>
                <w:color w:val="000000" w:themeColor="text1"/>
                <w:lang w:val="es-MX"/>
              </w:rPr>
              <w:t>52</w:t>
            </w:r>
          </w:p>
        </w:tc>
        <w:tc>
          <w:tcPr>
            <w:tcW w:w="6658" w:type="dxa"/>
            <w:gridSpan w:val="2"/>
          </w:tcPr>
          <w:p w:rsidR="0094608F" w:rsidRPr="0094608F" w:rsidRDefault="0094608F" w:rsidP="00A04760">
            <w:pPr>
              <w:pStyle w:val="Prrafodelista"/>
              <w:autoSpaceDE w:val="0"/>
              <w:autoSpaceDN w:val="0"/>
              <w:adjustRightInd w:val="0"/>
              <w:ind w:left="0"/>
              <w:rPr>
                <w:b/>
                <w:i/>
                <w:color w:val="000000" w:themeColor="text1"/>
                <w:lang w:val="es-MX"/>
              </w:rPr>
            </w:pPr>
            <w:r w:rsidRPr="0094608F">
              <w:rPr>
                <w:i/>
                <w:color w:val="000000" w:themeColor="text1"/>
                <w:lang w:val="es-MX"/>
              </w:rPr>
              <w:t>cocinas - comedores construidos</w:t>
            </w:r>
          </w:p>
        </w:tc>
      </w:tr>
      <w:tr w:rsidR="0094608F" w:rsidRPr="0094608F" w:rsidTr="00A04760">
        <w:trPr>
          <w:gridAfter w:val="1"/>
          <w:wAfter w:w="12" w:type="dxa"/>
          <w:jc w:val="center"/>
        </w:trPr>
        <w:tc>
          <w:tcPr>
            <w:tcW w:w="1107" w:type="dxa"/>
            <w:gridSpan w:val="2"/>
            <w:shd w:val="clear" w:color="auto" w:fill="auto"/>
          </w:tcPr>
          <w:p w:rsidR="0094608F" w:rsidRPr="0094608F" w:rsidRDefault="0094608F" w:rsidP="00A04760">
            <w:pPr>
              <w:pStyle w:val="Prrafodelista"/>
              <w:tabs>
                <w:tab w:val="left" w:pos="1407"/>
              </w:tabs>
              <w:autoSpaceDE w:val="0"/>
              <w:autoSpaceDN w:val="0"/>
              <w:adjustRightInd w:val="0"/>
              <w:ind w:left="0"/>
              <w:jc w:val="center"/>
              <w:rPr>
                <w:i/>
                <w:color w:val="000000" w:themeColor="text1"/>
                <w:lang w:val="es-MX"/>
              </w:rPr>
            </w:pPr>
            <w:r w:rsidRPr="0094608F">
              <w:rPr>
                <w:i/>
                <w:color w:val="000000" w:themeColor="text1"/>
                <w:lang w:val="es-MX"/>
              </w:rPr>
              <w:t>50</w:t>
            </w:r>
          </w:p>
        </w:tc>
        <w:tc>
          <w:tcPr>
            <w:tcW w:w="6658" w:type="dxa"/>
            <w:gridSpan w:val="2"/>
          </w:tcPr>
          <w:p w:rsidR="0094608F" w:rsidRPr="0094608F" w:rsidRDefault="0094608F" w:rsidP="00A04760">
            <w:pPr>
              <w:pStyle w:val="Prrafodelista"/>
              <w:autoSpaceDE w:val="0"/>
              <w:autoSpaceDN w:val="0"/>
              <w:adjustRightInd w:val="0"/>
              <w:ind w:left="0"/>
              <w:rPr>
                <w:b/>
                <w:i/>
                <w:color w:val="000000" w:themeColor="text1"/>
                <w:lang w:val="es-MX"/>
              </w:rPr>
            </w:pPr>
            <w:r w:rsidRPr="0094608F">
              <w:rPr>
                <w:i/>
                <w:color w:val="000000" w:themeColor="text1"/>
                <w:lang w:val="es-MX"/>
              </w:rPr>
              <w:t>servicios higiénicos construidos</w:t>
            </w:r>
          </w:p>
        </w:tc>
      </w:tr>
    </w:tbl>
    <w:p w:rsidR="0094608F" w:rsidRPr="0094608F" w:rsidRDefault="0094608F" w:rsidP="0094608F">
      <w:pPr>
        <w:suppressAutoHyphens/>
        <w:jc w:val="both"/>
        <w:rPr>
          <w:i/>
          <w:color w:val="000000" w:themeColor="text1"/>
          <w:lang w:val="es-MX"/>
        </w:rPr>
      </w:pPr>
    </w:p>
    <w:p w:rsidR="0094608F" w:rsidRPr="0094608F" w:rsidRDefault="0094608F" w:rsidP="0094608F">
      <w:pPr>
        <w:pStyle w:val="Prrafodelista"/>
        <w:numPr>
          <w:ilvl w:val="0"/>
          <w:numId w:val="14"/>
        </w:numPr>
        <w:autoSpaceDE w:val="0"/>
        <w:autoSpaceDN w:val="0"/>
        <w:adjustRightInd w:val="0"/>
        <w:jc w:val="both"/>
        <w:rPr>
          <w:i/>
          <w:color w:val="000000" w:themeColor="text1"/>
          <w:lang w:val="es-PY"/>
        </w:rPr>
      </w:pPr>
      <w:r w:rsidRPr="0094608F">
        <w:rPr>
          <w:i/>
          <w:color w:val="000000" w:themeColor="text1"/>
          <w:lang w:val="es-PY"/>
        </w:rPr>
        <w:t xml:space="preserve">Para el Sector Salud se proyecta la instalación de 40 unidades de salud de la familia más con relación al año 2016, para llegar a 835 a finales del 2017, para la atención de 2.695.678 personas, invirtiendo </w:t>
      </w:r>
      <w:r w:rsidR="0033309C">
        <w:rPr>
          <w:i/>
          <w:color w:val="000000" w:themeColor="text1"/>
          <w:lang w:val="es-PY"/>
        </w:rPr>
        <w:t>₲</w:t>
      </w:r>
      <w:r w:rsidR="00EB6D5E">
        <w:rPr>
          <w:i/>
          <w:color w:val="000000" w:themeColor="text1"/>
          <w:lang w:val="es-PY"/>
        </w:rPr>
        <w:t xml:space="preserve"> </w:t>
      </w:r>
      <w:r w:rsidR="00EB6D5E" w:rsidRPr="0094608F">
        <w:rPr>
          <w:i/>
          <w:color w:val="000000" w:themeColor="text1"/>
          <w:lang w:val="es-PY"/>
        </w:rPr>
        <w:t>8</w:t>
      </w:r>
      <w:r w:rsidR="00EB6D5E">
        <w:rPr>
          <w:i/>
          <w:color w:val="000000" w:themeColor="text1"/>
          <w:lang w:val="es-PY"/>
        </w:rPr>
        <w:t>73</w:t>
      </w:r>
      <w:r w:rsidR="00EB6D5E" w:rsidRPr="0094608F">
        <w:rPr>
          <w:i/>
          <w:color w:val="000000" w:themeColor="text1"/>
          <w:lang w:val="es-PY"/>
        </w:rPr>
        <w:t xml:space="preserve"> </w:t>
      </w:r>
      <w:r w:rsidRPr="0094608F">
        <w:rPr>
          <w:i/>
          <w:color w:val="000000" w:themeColor="text1"/>
          <w:lang w:val="es-PY"/>
        </w:rPr>
        <w:t>mil millones en medicamentos.</w:t>
      </w:r>
    </w:p>
    <w:p w:rsidR="00D0004B" w:rsidRDefault="00D0004B">
      <w:pPr>
        <w:spacing w:after="200" w:line="276" w:lineRule="auto"/>
        <w:rPr>
          <w:i/>
          <w:iCs/>
        </w:rPr>
      </w:pPr>
      <w:r>
        <w:rPr>
          <w:i/>
          <w:iCs/>
        </w:rPr>
        <w:br w:type="page"/>
      </w:r>
    </w:p>
    <w:p w:rsidR="00D0004B" w:rsidRPr="00484D7D" w:rsidRDefault="00D0004B" w:rsidP="00D0004B">
      <w:pPr>
        <w:jc w:val="center"/>
        <w:rPr>
          <w:i/>
          <w:color w:val="000000" w:themeColor="text1"/>
          <w:lang w:val="es-ES_tradnl"/>
        </w:rPr>
      </w:pPr>
      <w:r>
        <w:rPr>
          <w:i/>
          <w:color w:val="000000" w:themeColor="text1"/>
          <w:lang w:val="es-ES_tradnl"/>
        </w:rPr>
        <w:lastRenderedPageBreak/>
        <w:t>-13-</w:t>
      </w:r>
    </w:p>
    <w:p w:rsidR="00D0004B" w:rsidRPr="0077086C" w:rsidRDefault="00D0004B" w:rsidP="00D0004B">
      <w:pPr>
        <w:jc w:val="both"/>
        <w:rPr>
          <w:i/>
          <w:color w:val="000000" w:themeColor="text1"/>
          <w:sz w:val="20"/>
          <w:szCs w:val="20"/>
          <w:lang w:val="es-ES_tradnl"/>
        </w:rPr>
      </w:pPr>
    </w:p>
    <w:p w:rsidR="00D0004B" w:rsidRPr="0077086C" w:rsidRDefault="00D0004B" w:rsidP="00D0004B">
      <w:pPr>
        <w:jc w:val="both"/>
        <w:rPr>
          <w:i/>
          <w:color w:val="000000" w:themeColor="text1"/>
          <w:sz w:val="20"/>
          <w:szCs w:val="20"/>
          <w:lang w:val="es-ES_tradnl"/>
        </w:rPr>
      </w:pPr>
    </w:p>
    <w:p w:rsidR="00D0004B" w:rsidRPr="0077086C" w:rsidRDefault="00D0004B" w:rsidP="00D0004B">
      <w:pPr>
        <w:jc w:val="both"/>
        <w:rPr>
          <w:i/>
          <w:color w:val="000000" w:themeColor="text1"/>
          <w:sz w:val="20"/>
          <w:szCs w:val="20"/>
          <w:lang w:val="es-ES_tradnl"/>
        </w:rPr>
      </w:pPr>
    </w:p>
    <w:p w:rsidR="00D0004B" w:rsidRPr="00484D7D" w:rsidRDefault="00D0004B" w:rsidP="00D0004B">
      <w:pPr>
        <w:jc w:val="both"/>
        <w:rPr>
          <w:i/>
          <w:color w:val="000000" w:themeColor="text1"/>
          <w:lang w:val="es-ES_tradnl"/>
        </w:rPr>
      </w:pPr>
      <w:r w:rsidRPr="00484D7D">
        <w:rPr>
          <w:i/>
          <w:color w:val="000000" w:themeColor="text1"/>
          <w:lang w:val="es-ES_tradnl"/>
        </w:rPr>
        <w:t>N°________</w:t>
      </w:r>
    </w:p>
    <w:p w:rsidR="00D0004B" w:rsidRPr="00DF48AC" w:rsidRDefault="00D0004B" w:rsidP="00D0004B">
      <w:pPr>
        <w:jc w:val="both"/>
        <w:rPr>
          <w:i/>
          <w:color w:val="000000" w:themeColor="text1"/>
          <w:sz w:val="20"/>
          <w:szCs w:val="20"/>
          <w:lang w:val="es-ES_tradnl"/>
        </w:rPr>
      </w:pPr>
    </w:p>
    <w:p w:rsidR="0094608F" w:rsidRPr="00DF48AC" w:rsidRDefault="0094608F" w:rsidP="0094608F">
      <w:pPr>
        <w:jc w:val="both"/>
        <w:rPr>
          <w:i/>
          <w:iCs/>
          <w:sz w:val="20"/>
          <w:szCs w:val="20"/>
        </w:rPr>
      </w:pPr>
    </w:p>
    <w:p w:rsidR="0094608F" w:rsidRPr="0094608F" w:rsidRDefault="0094608F" w:rsidP="0094608F">
      <w:pPr>
        <w:pStyle w:val="Prrafodelista"/>
        <w:numPr>
          <w:ilvl w:val="0"/>
          <w:numId w:val="14"/>
        </w:numPr>
        <w:autoSpaceDE w:val="0"/>
        <w:autoSpaceDN w:val="0"/>
        <w:adjustRightInd w:val="0"/>
        <w:jc w:val="both"/>
        <w:rPr>
          <w:i/>
          <w:color w:val="000000" w:themeColor="text1"/>
          <w:lang w:val="es-PY"/>
        </w:rPr>
      </w:pPr>
      <w:r w:rsidRPr="0094608F">
        <w:rPr>
          <w:i/>
          <w:color w:val="000000" w:themeColor="text1"/>
          <w:lang w:val="es-PY"/>
        </w:rPr>
        <w:t>La asistencia a la agricultura familiar continuará en el 2017, beneficiando a 104.240 familias con rubros diversificados de consumo y renta para la mejora de sus ingresos, 3.000 familias con equipamientos tecnológicos, 1.750 familias asistidas técnicamente en producción pecuaria y acuícola, financiamiento de 240 microproyectos y proyectos productivos, adquisición de 11.000 hectáreas para asentamientos campesinos y 2.857 hectáreas de tierras adquiridas para comunidades indígenas.</w:t>
      </w:r>
    </w:p>
    <w:p w:rsidR="0094608F" w:rsidRPr="00DF48AC" w:rsidRDefault="0094608F" w:rsidP="0094608F">
      <w:pPr>
        <w:jc w:val="both"/>
        <w:rPr>
          <w:i/>
          <w:color w:val="000000" w:themeColor="text1"/>
          <w:sz w:val="16"/>
          <w:szCs w:val="16"/>
          <w:lang w:val="es-PY"/>
        </w:rPr>
      </w:pPr>
    </w:p>
    <w:p w:rsidR="0094608F" w:rsidRPr="0094608F" w:rsidRDefault="0094608F" w:rsidP="0094608F">
      <w:pPr>
        <w:pStyle w:val="Prrafodelista"/>
        <w:numPr>
          <w:ilvl w:val="0"/>
          <w:numId w:val="14"/>
        </w:numPr>
        <w:autoSpaceDE w:val="0"/>
        <w:autoSpaceDN w:val="0"/>
        <w:adjustRightInd w:val="0"/>
        <w:jc w:val="both"/>
        <w:rPr>
          <w:i/>
          <w:color w:val="000000" w:themeColor="text1"/>
        </w:rPr>
      </w:pPr>
      <w:r w:rsidRPr="0094608F">
        <w:rPr>
          <w:i/>
          <w:color w:val="000000" w:themeColor="text1"/>
          <w:lang w:val="es-PY"/>
        </w:rPr>
        <w:t>Altos niveles de Inversión Pública, des</w:t>
      </w:r>
      <w:r w:rsidR="00AD6C1B">
        <w:rPr>
          <w:i/>
          <w:color w:val="000000" w:themeColor="text1"/>
          <w:lang w:val="es-PY"/>
        </w:rPr>
        <w:t>tinando recursos para:</w:t>
      </w:r>
    </w:p>
    <w:p w:rsidR="0094608F" w:rsidRPr="00DF48AC" w:rsidRDefault="0094608F" w:rsidP="00DF48AC">
      <w:pPr>
        <w:rPr>
          <w:bCs/>
          <w:i/>
          <w:color w:val="000000" w:themeColor="text1"/>
          <w:sz w:val="16"/>
          <w:szCs w:val="16"/>
          <w:lang w:val="es-MX"/>
        </w:rPr>
      </w:pPr>
    </w:p>
    <w:tbl>
      <w:tblPr>
        <w:tblStyle w:val="Tablaconcuadrcula"/>
        <w:tblW w:w="0" w:type="auto"/>
        <w:jc w:val="center"/>
        <w:tblLook w:val="04A0" w:firstRow="1" w:lastRow="0" w:firstColumn="1" w:lastColumn="0" w:noHBand="0" w:noVBand="1"/>
      </w:tblPr>
      <w:tblGrid>
        <w:gridCol w:w="5026"/>
        <w:gridCol w:w="2694"/>
      </w:tblGrid>
      <w:tr w:rsidR="0094608F" w:rsidRPr="0094608F" w:rsidTr="00A04760">
        <w:trPr>
          <w:jc w:val="center"/>
        </w:trPr>
        <w:tc>
          <w:tcPr>
            <w:tcW w:w="7720" w:type="dxa"/>
            <w:gridSpan w:val="2"/>
          </w:tcPr>
          <w:p w:rsidR="0094608F" w:rsidRPr="0094608F" w:rsidRDefault="0094608F" w:rsidP="00A04760">
            <w:pPr>
              <w:pStyle w:val="Prrafodelista"/>
              <w:autoSpaceDE w:val="0"/>
              <w:autoSpaceDN w:val="0"/>
              <w:adjustRightInd w:val="0"/>
              <w:ind w:left="0"/>
              <w:jc w:val="center"/>
              <w:rPr>
                <w:b/>
                <w:i/>
                <w:color w:val="000000" w:themeColor="text1"/>
                <w:lang w:val="es-MX"/>
              </w:rPr>
            </w:pPr>
            <w:r w:rsidRPr="0094608F">
              <w:rPr>
                <w:b/>
                <w:i/>
                <w:color w:val="000000" w:themeColor="text1"/>
                <w:lang w:val="es-MX"/>
              </w:rPr>
              <w:t>Obras Públicas</w:t>
            </w:r>
          </w:p>
        </w:tc>
      </w:tr>
      <w:tr w:rsidR="0094608F" w:rsidRPr="0094608F" w:rsidTr="00A04760">
        <w:trPr>
          <w:jc w:val="center"/>
        </w:trPr>
        <w:tc>
          <w:tcPr>
            <w:tcW w:w="5026" w:type="dxa"/>
            <w:shd w:val="clear" w:color="auto" w:fill="auto"/>
          </w:tcPr>
          <w:p w:rsidR="0094608F" w:rsidRPr="0094608F" w:rsidRDefault="0094608F" w:rsidP="00A04760">
            <w:pPr>
              <w:autoSpaceDE w:val="0"/>
              <w:autoSpaceDN w:val="0"/>
              <w:adjustRightInd w:val="0"/>
              <w:jc w:val="both"/>
              <w:rPr>
                <w:i/>
                <w:color w:val="000000" w:themeColor="text1"/>
                <w:lang w:val="es-MX"/>
              </w:rPr>
            </w:pPr>
            <w:r w:rsidRPr="0094608F">
              <w:rPr>
                <w:bCs/>
                <w:i/>
                <w:color w:val="000000" w:themeColor="text1"/>
                <w:lang w:val="es-MX"/>
              </w:rPr>
              <w:t>Construcción de Puentes</w:t>
            </w:r>
          </w:p>
        </w:tc>
        <w:tc>
          <w:tcPr>
            <w:tcW w:w="2694" w:type="dxa"/>
          </w:tcPr>
          <w:p w:rsidR="0094608F" w:rsidRPr="0094608F" w:rsidRDefault="0094608F" w:rsidP="00A04760">
            <w:pPr>
              <w:autoSpaceDE w:val="0"/>
              <w:autoSpaceDN w:val="0"/>
              <w:adjustRightInd w:val="0"/>
              <w:jc w:val="both"/>
              <w:rPr>
                <w:i/>
                <w:color w:val="000000" w:themeColor="text1"/>
                <w:lang w:val="es-MX"/>
              </w:rPr>
            </w:pPr>
            <w:r w:rsidRPr="0094608F">
              <w:rPr>
                <w:i/>
                <w:color w:val="000000" w:themeColor="text1"/>
                <w:lang w:val="es-MX"/>
              </w:rPr>
              <w:t xml:space="preserve">2.862 </w:t>
            </w:r>
            <w:r w:rsidR="0033309C" w:rsidRPr="0094608F">
              <w:rPr>
                <w:i/>
                <w:color w:val="000000" w:themeColor="text1"/>
                <w:lang w:val="es-MX"/>
              </w:rPr>
              <w:t>metros lineales</w:t>
            </w:r>
            <w:r w:rsidR="0033309C" w:rsidRPr="0094608F">
              <w:rPr>
                <w:i/>
                <w:color w:val="000000" w:themeColor="text1"/>
                <w:lang w:val="es-PY"/>
              </w:rPr>
              <w:t xml:space="preserve"> </w:t>
            </w:r>
          </w:p>
        </w:tc>
      </w:tr>
      <w:tr w:rsidR="0094608F" w:rsidRPr="0094608F" w:rsidTr="00A04760">
        <w:trPr>
          <w:jc w:val="center"/>
        </w:trPr>
        <w:tc>
          <w:tcPr>
            <w:tcW w:w="5026" w:type="dxa"/>
            <w:shd w:val="clear" w:color="auto" w:fill="auto"/>
          </w:tcPr>
          <w:p w:rsidR="0094608F" w:rsidRPr="0094608F" w:rsidRDefault="0094608F" w:rsidP="00A04760">
            <w:pPr>
              <w:autoSpaceDE w:val="0"/>
              <w:autoSpaceDN w:val="0"/>
              <w:adjustRightInd w:val="0"/>
              <w:jc w:val="both"/>
              <w:rPr>
                <w:i/>
                <w:color w:val="000000" w:themeColor="text1"/>
                <w:lang w:val="es-MX"/>
              </w:rPr>
            </w:pPr>
            <w:r w:rsidRPr="0094608F">
              <w:rPr>
                <w:bCs/>
                <w:i/>
                <w:color w:val="000000" w:themeColor="text1"/>
                <w:lang w:val="es-MX"/>
              </w:rPr>
              <w:t>Mantenimiento de caminos vecinales</w:t>
            </w:r>
          </w:p>
        </w:tc>
        <w:tc>
          <w:tcPr>
            <w:tcW w:w="2694" w:type="dxa"/>
          </w:tcPr>
          <w:p w:rsidR="0094608F" w:rsidRPr="0094608F" w:rsidRDefault="0094608F" w:rsidP="00A04760">
            <w:pPr>
              <w:autoSpaceDE w:val="0"/>
              <w:autoSpaceDN w:val="0"/>
              <w:adjustRightInd w:val="0"/>
              <w:rPr>
                <w:i/>
                <w:color w:val="000000" w:themeColor="text1"/>
                <w:lang w:val="es-MX"/>
              </w:rPr>
            </w:pPr>
            <w:r w:rsidRPr="0094608F">
              <w:rPr>
                <w:i/>
                <w:color w:val="000000" w:themeColor="text1"/>
                <w:lang w:val="es-MX"/>
              </w:rPr>
              <w:t>16.856 kilómetros</w:t>
            </w:r>
          </w:p>
        </w:tc>
      </w:tr>
      <w:tr w:rsidR="0094608F" w:rsidRPr="0094608F" w:rsidTr="00A04760">
        <w:trPr>
          <w:jc w:val="center"/>
        </w:trPr>
        <w:tc>
          <w:tcPr>
            <w:tcW w:w="5026" w:type="dxa"/>
            <w:shd w:val="clear" w:color="auto" w:fill="auto"/>
          </w:tcPr>
          <w:p w:rsidR="0094608F" w:rsidRPr="0094608F" w:rsidRDefault="0094608F" w:rsidP="00A04760">
            <w:pPr>
              <w:autoSpaceDE w:val="0"/>
              <w:autoSpaceDN w:val="0"/>
              <w:adjustRightInd w:val="0"/>
              <w:jc w:val="both"/>
              <w:rPr>
                <w:bCs/>
                <w:i/>
                <w:color w:val="000000" w:themeColor="text1"/>
                <w:lang w:val="es-MX"/>
              </w:rPr>
            </w:pPr>
            <w:r w:rsidRPr="0094608F">
              <w:rPr>
                <w:bCs/>
                <w:i/>
                <w:color w:val="000000" w:themeColor="text1"/>
                <w:lang w:val="es-MX"/>
              </w:rPr>
              <w:t>Extensión de la red vial nacional pavimentada</w:t>
            </w:r>
          </w:p>
        </w:tc>
        <w:tc>
          <w:tcPr>
            <w:tcW w:w="2694" w:type="dxa"/>
          </w:tcPr>
          <w:p w:rsidR="0094608F" w:rsidRPr="0094608F" w:rsidRDefault="0094608F" w:rsidP="00A04760">
            <w:pPr>
              <w:autoSpaceDE w:val="0"/>
              <w:autoSpaceDN w:val="0"/>
              <w:adjustRightInd w:val="0"/>
              <w:rPr>
                <w:i/>
                <w:color w:val="000000" w:themeColor="text1"/>
                <w:lang w:val="es-PY"/>
              </w:rPr>
            </w:pPr>
            <w:r w:rsidRPr="0094608F">
              <w:rPr>
                <w:i/>
                <w:color w:val="000000" w:themeColor="text1"/>
                <w:lang w:val="es-MX"/>
              </w:rPr>
              <w:t>10.103 kilómetros</w:t>
            </w:r>
          </w:p>
        </w:tc>
      </w:tr>
    </w:tbl>
    <w:p w:rsidR="0094608F" w:rsidRPr="00DF48AC" w:rsidRDefault="0094608F" w:rsidP="0094608F">
      <w:pPr>
        <w:suppressAutoHyphens/>
        <w:jc w:val="both"/>
        <w:rPr>
          <w:i/>
          <w:iCs/>
          <w:sz w:val="16"/>
          <w:szCs w:val="16"/>
        </w:rPr>
      </w:pPr>
    </w:p>
    <w:tbl>
      <w:tblPr>
        <w:tblStyle w:val="Tablaconcuadrcula"/>
        <w:tblW w:w="0" w:type="auto"/>
        <w:jc w:val="center"/>
        <w:tblLook w:val="04A0" w:firstRow="1" w:lastRow="0" w:firstColumn="1" w:lastColumn="0" w:noHBand="0" w:noVBand="1"/>
      </w:tblPr>
      <w:tblGrid>
        <w:gridCol w:w="7153"/>
      </w:tblGrid>
      <w:tr w:rsidR="0094608F" w:rsidRPr="0094608F" w:rsidTr="00A04760">
        <w:trPr>
          <w:jc w:val="center"/>
        </w:trPr>
        <w:tc>
          <w:tcPr>
            <w:tcW w:w="7153" w:type="dxa"/>
            <w:shd w:val="clear" w:color="auto" w:fill="auto"/>
          </w:tcPr>
          <w:p w:rsidR="0094608F" w:rsidRPr="0094608F" w:rsidRDefault="0094608F" w:rsidP="00A04760">
            <w:pPr>
              <w:jc w:val="center"/>
              <w:rPr>
                <w:i/>
                <w:color w:val="000000" w:themeColor="text1"/>
              </w:rPr>
            </w:pPr>
            <w:r w:rsidRPr="0094608F">
              <w:rPr>
                <w:b/>
                <w:i/>
                <w:color w:val="000000" w:themeColor="text1"/>
                <w:lang w:val="es-MX"/>
              </w:rPr>
              <w:t>Inversión Energética</w:t>
            </w:r>
          </w:p>
        </w:tc>
      </w:tr>
      <w:tr w:rsidR="0094608F" w:rsidRPr="0094608F" w:rsidTr="00A04760">
        <w:trPr>
          <w:jc w:val="center"/>
        </w:trPr>
        <w:tc>
          <w:tcPr>
            <w:tcW w:w="7153" w:type="dxa"/>
            <w:shd w:val="clear" w:color="auto" w:fill="auto"/>
          </w:tcPr>
          <w:p w:rsidR="0094608F" w:rsidRPr="0094608F" w:rsidRDefault="0094608F" w:rsidP="00A04760">
            <w:r w:rsidRPr="0094608F">
              <w:rPr>
                <w:i/>
                <w:color w:val="000000" w:themeColor="text1"/>
              </w:rPr>
              <w:t>14.043.865.342 Kwh de energía para la población</w:t>
            </w:r>
          </w:p>
        </w:tc>
      </w:tr>
      <w:tr w:rsidR="0094608F" w:rsidRPr="0094608F" w:rsidTr="00A04760">
        <w:trPr>
          <w:jc w:val="center"/>
        </w:trPr>
        <w:tc>
          <w:tcPr>
            <w:tcW w:w="7153" w:type="dxa"/>
            <w:shd w:val="clear" w:color="auto" w:fill="auto"/>
          </w:tcPr>
          <w:p w:rsidR="0094608F" w:rsidRPr="0094608F" w:rsidRDefault="0094608F" w:rsidP="00A04760">
            <w:pPr>
              <w:suppressAutoHyphens/>
              <w:jc w:val="both"/>
              <w:rPr>
                <w:i/>
                <w:color w:val="000000" w:themeColor="text1"/>
                <w:lang w:val="es-PY"/>
              </w:rPr>
            </w:pPr>
            <w:r w:rsidRPr="0094608F">
              <w:rPr>
                <w:i/>
                <w:color w:val="auto"/>
                <w:lang w:val="es-PY"/>
              </w:rPr>
              <w:t>Obras de mejoras y optimización de sistemas con la construcción de la línea de transmisión 500 kV Yacyreta – Villa Hayes.</w:t>
            </w:r>
          </w:p>
        </w:tc>
      </w:tr>
      <w:tr w:rsidR="0094608F" w:rsidRPr="0094608F" w:rsidTr="00A04760">
        <w:trPr>
          <w:jc w:val="center"/>
        </w:trPr>
        <w:tc>
          <w:tcPr>
            <w:tcW w:w="7153" w:type="dxa"/>
            <w:shd w:val="clear" w:color="auto" w:fill="auto"/>
          </w:tcPr>
          <w:p w:rsidR="0094608F" w:rsidRPr="0094608F" w:rsidRDefault="0094608F" w:rsidP="00A04760">
            <w:pPr>
              <w:suppressAutoHyphens/>
              <w:jc w:val="both"/>
              <w:rPr>
                <w:bCs/>
                <w:i/>
                <w:color w:val="000000" w:themeColor="text1"/>
                <w:lang w:val="es-PY"/>
              </w:rPr>
            </w:pPr>
            <w:r w:rsidRPr="0094608F">
              <w:rPr>
                <w:i/>
                <w:color w:val="auto"/>
                <w:lang w:val="es-PY"/>
              </w:rPr>
              <w:t>Obras de ampliación de la subestación Villa Aurelia y construcción de la línea de transmisión de 220 kv Puerto Botánico - Villa Aurelia.</w:t>
            </w:r>
          </w:p>
        </w:tc>
      </w:tr>
      <w:tr w:rsidR="0094608F" w:rsidRPr="0094608F" w:rsidTr="00A04760">
        <w:trPr>
          <w:jc w:val="center"/>
        </w:trPr>
        <w:tc>
          <w:tcPr>
            <w:tcW w:w="7153" w:type="dxa"/>
            <w:shd w:val="clear" w:color="auto" w:fill="auto"/>
          </w:tcPr>
          <w:p w:rsidR="0094608F" w:rsidRPr="0094608F" w:rsidRDefault="0094608F" w:rsidP="00A04760">
            <w:pPr>
              <w:suppressAutoHyphens/>
              <w:jc w:val="both"/>
              <w:rPr>
                <w:i/>
                <w:color w:val="auto"/>
                <w:lang w:val="es-PY"/>
              </w:rPr>
            </w:pPr>
            <w:r w:rsidRPr="0094608F">
              <w:rPr>
                <w:i/>
                <w:color w:val="auto"/>
                <w:lang w:val="es-PY"/>
              </w:rPr>
              <w:t>Obras de mejoras en Construcción de la Subestación Barrio Molino y de la Línea de Transmisión de 220 kv Puerto Botánico - Barrio Molino.</w:t>
            </w:r>
          </w:p>
        </w:tc>
      </w:tr>
      <w:tr w:rsidR="0094608F" w:rsidRPr="0094608F" w:rsidTr="00A04760">
        <w:trPr>
          <w:jc w:val="center"/>
        </w:trPr>
        <w:tc>
          <w:tcPr>
            <w:tcW w:w="7153" w:type="dxa"/>
            <w:shd w:val="clear" w:color="auto" w:fill="auto"/>
          </w:tcPr>
          <w:p w:rsidR="0094608F" w:rsidRPr="0094608F" w:rsidRDefault="0094608F" w:rsidP="00A04760">
            <w:pPr>
              <w:suppressAutoHyphens/>
              <w:jc w:val="both"/>
              <w:rPr>
                <w:i/>
                <w:color w:val="auto"/>
                <w:lang w:val="es-PY"/>
              </w:rPr>
            </w:pPr>
            <w:r w:rsidRPr="0094608F">
              <w:rPr>
                <w:i/>
                <w:color w:val="000000" w:themeColor="text1"/>
              </w:rPr>
              <w:t>Obras de ampliación de la LT 220 kv Acaray - Puerto Pdte. Franco</w:t>
            </w:r>
          </w:p>
        </w:tc>
      </w:tr>
      <w:tr w:rsidR="0094608F" w:rsidRPr="0094608F" w:rsidTr="00A04760">
        <w:trPr>
          <w:jc w:val="center"/>
        </w:trPr>
        <w:tc>
          <w:tcPr>
            <w:tcW w:w="7153" w:type="dxa"/>
            <w:shd w:val="clear" w:color="auto" w:fill="auto"/>
          </w:tcPr>
          <w:p w:rsidR="0094608F" w:rsidRPr="0094608F" w:rsidRDefault="0094608F" w:rsidP="00A04760">
            <w:pPr>
              <w:suppressAutoHyphens/>
              <w:jc w:val="both"/>
              <w:rPr>
                <w:i/>
                <w:color w:val="auto"/>
                <w:lang w:val="es-PY"/>
              </w:rPr>
            </w:pPr>
            <w:r w:rsidRPr="0094608F">
              <w:rPr>
                <w:i/>
                <w:color w:val="000000" w:themeColor="text1"/>
              </w:rPr>
              <w:t>Obras para la construcción de la Subestación Fram de 66 kv.</w:t>
            </w:r>
          </w:p>
        </w:tc>
      </w:tr>
      <w:tr w:rsidR="0094608F" w:rsidRPr="0094608F" w:rsidTr="00A04760">
        <w:trPr>
          <w:jc w:val="center"/>
        </w:trPr>
        <w:tc>
          <w:tcPr>
            <w:tcW w:w="7153" w:type="dxa"/>
            <w:shd w:val="clear" w:color="auto" w:fill="auto"/>
          </w:tcPr>
          <w:p w:rsidR="0094608F" w:rsidRPr="0094608F" w:rsidRDefault="0094608F" w:rsidP="00A04760">
            <w:pPr>
              <w:suppressAutoHyphens/>
              <w:jc w:val="both"/>
              <w:rPr>
                <w:i/>
                <w:color w:val="000000" w:themeColor="text1"/>
              </w:rPr>
            </w:pPr>
            <w:r w:rsidRPr="0094608F">
              <w:rPr>
                <w:i/>
                <w:color w:val="000000" w:themeColor="text1"/>
              </w:rPr>
              <w:t>Construcción parque solar fotovoltaico en Bahía Negra</w:t>
            </w:r>
          </w:p>
        </w:tc>
      </w:tr>
      <w:tr w:rsidR="0094608F" w:rsidTr="00A04760">
        <w:trPr>
          <w:jc w:val="center"/>
        </w:trPr>
        <w:tc>
          <w:tcPr>
            <w:tcW w:w="7153" w:type="dxa"/>
            <w:shd w:val="clear" w:color="auto" w:fill="auto"/>
          </w:tcPr>
          <w:p w:rsidR="0094608F" w:rsidRDefault="0094608F" w:rsidP="00A04760">
            <w:pPr>
              <w:suppressAutoHyphens/>
              <w:jc w:val="both"/>
              <w:rPr>
                <w:i/>
                <w:color w:val="000000" w:themeColor="text1"/>
              </w:rPr>
            </w:pPr>
            <w:r w:rsidRPr="0094608F">
              <w:rPr>
                <w:i/>
                <w:color w:val="000000" w:themeColor="text1"/>
              </w:rPr>
              <w:t>Construcción de la subestación altos 220 kv en Cordillera.</w:t>
            </w:r>
          </w:p>
        </w:tc>
      </w:tr>
    </w:tbl>
    <w:p w:rsidR="0094608F" w:rsidRPr="00DF48AC" w:rsidRDefault="0094608F" w:rsidP="0094608F">
      <w:pPr>
        <w:suppressAutoHyphens/>
        <w:jc w:val="both"/>
        <w:rPr>
          <w:i/>
          <w:color w:val="000000" w:themeColor="text1"/>
          <w:sz w:val="16"/>
          <w:szCs w:val="16"/>
          <w:lang w:val="es-MX"/>
        </w:rPr>
      </w:pPr>
    </w:p>
    <w:p w:rsidR="00614693" w:rsidRPr="00556983" w:rsidRDefault="00614693" w:rsidP="00556983">
      <w:pPr>
        <w:numPr>
          <w:ilvl w:val="0"/>
          <w:numId w:val="1"/>
        </w:numPr>
        <w:suppressAutoHyphens/>
        <w:ind w:left="284" w:hanging="284"/>
        <w:jc w:val="both"/>
        <w:rPr>
          <w:b/>
          <w:i/>
          <w:color w:val="000000" w:themeColor="text1"/>
        </w:rPr>
      </w:pPr>
      <w:r w:rsidRPr="00E71568">
        <w:rPr>
          <w:b/>
          <w:i/>
          <w:color w:val="000000" w:themeColor="text1"/>
        </w:rPr>
        <w:t>Financiamiento del presupuesto y sostenibilidad fiscal</w:t>
      </w:r>
      <w:r w:rsidR="00DF48AC">
        <w:rPr>
          <w:b/>
          <w:i/>
          <w:color w:val="000000" w:themeColor="text1"/>
        </w:rPr>
        <w:t>.</w:t>
      </w:r>
    </w:p>
    <w:p w:rsidR="00614693" w:rsidRPr="00DF48AC" w:rsidRDefault="00614693" w:rsidP="000E0D7A">
      <w:pPr>
        <w:suppressAutoHyphens/>
        <w:jc w:val="both"/>
        <w:rPr>
          <w:i/>
          <w:color w:val="000000" w:themeColor="text1"/>
          <w:sz w:val="16"/>
          <w:szCs w:val="16"/>
          <w:highlight w:val="yellow"/>
        </w:rPr>
      </w:pPr>
    </w:p>
    <w:p w:rsidR="0077086C" w:rsidRDefault="00B27762" w:rsidP="00B27762">
      <w:pPr>
        <w:suppressAutoHyphens/>
        <w:ind w:firstLine="1985"/>
        <w:jc w:val="both"/>
        <w:rPr>
          <w:i/>
          <w:color w:val="000000" w:themeColor="text1"/>
        </w:rPr>
      </w:pPr>
      <w:r w:rsidRPr="00177FED">
        <w:rPr>
          <w:i/>
          <w:color w:val="000000" w:themeColor="text1"/>
        </w:rPr>
        <w:t xml:space="preserve">El proyecto de presupuesto presentado al Honorable Congreso Nacional presenta un resultado deficitario de </w:t>
      </w:r>
      <w:r w:rsidR="0033309C">
        <w:rPr>
          <w:i/>
          <w:color w:val="000000" w:themeColor="text1"/>
        </w:rPr>
        <w:t>₲</w:t>
      </w:r>
      <w:r w:rsidRPr="00177FED">
        <w:rPr>
          <w:i/>
          <w:color w:val="000000" w:themeColor="text1"/>
        </w:rPr>
        <w:t xml:space="preserve"> 2,</w:t>
      </w:r>
      <w:r>
        <w:rPr>
          <w:i/>
          <w:color w:val="000000" w:themeColor="text1"/>
        </w:rPr>
        <w:t>6</w:t>
      </w:r>
      <w:r w:rsidRPr="00177FED">
        <w:rPr>
          <w:i/>
          <w:color w:val="000000" w:themeColor="text1"/>
        </w:rPr>
        <w:t xml:space="preserve"> billones para la Administración Central, equivalente al uno coma cinco por ciento (1,5%) del PIB, que se encuentra adecuadamente financiado, en un escenario que preserva la sostenibilidad de las cuentas públicas.</w:t>
      </w:r>
    </w:p>
    <w:p w:rsidR="0077086C" w:rsidRDefault="0077086C">
      <w:pPr>
        <w:spacing w:after="200" w:line="276" w:lineRule="auto"/>
        <w:rPr>
          <w:i/>
          <w:color w:val="000000" w:themeColor="text1"/>
        </w:rPr>
      </w:pPr>
      <w:r>
        <w:rPr>
          <w:i/>
          <w:color w:val="000000" w:themeColor="text1"/>
        </w:rPr>
        <w:br w:type="page"/>
      </w:r>
    </w:p>
    <w:p w:rsidR="0077086C" w:rsidRPr="00484D7D" w:rsidRDefault="0077086C" w:rsidP="0077086C">
      <w:pPr>
        <w:jc w:val="center"/>
        <w:rPr>
          <w:i/>
          <w:color w:val="000000" w:themeColor="text1"/>
          <w:lang w:val="es-ES_tradnl"/>
        </w:rPr>
      </w:pPr>
      <w:r>
        <w:rPr>
          <w:i/>
          <w:color w:val="000000" w:themeColor="text1"/>
          <w:lang w:val="es-ES_tradnl"/>
        </w:rPr>
        <w:lastRenderedPageBreak/>
        <w:t>-14-</w:t>
      </w:r>
    </w:p>
    <w:p w:rsidR="0077086C" w:rsidRPr="004E07F7" w:rsidRDefault="0077086C" w:rsidP="0077086C">
      <w:pPr>
        <w:jc w:val="both"/>
        <w:rPr>
          <w:i/>
          <w:color w:val="000000" w:themeColor="text1"/>
          <w:sz w:val="20"/>
          <w:szCs w:val="20"/>
          <w:lang w:val="es-ES_tradnl"/>
        </w:rPr>
      </w:pPr>
    </w:p>
    <w:p w:rsidR="0077086C" w:rsidRPr="004E07F7" w:rsidRDefault="0077086C" w:rsidP="0077086C">
      <w:pPr>
        <w:jc w:val="both"/>
        <w:rPr>
          <w:i/>
          <w:color w:val="000000" w:themeColor="text1"/>
          <w:sz w:val="20"/>
          <w:szCs w:val="20"/>
          <w:lang w:val="es-ES_tradnl"/>
        </w:rPr>
      </w:pPr>
    </w:p>
    <w:p w:rsidR="0077086C" w:rsidRPr="004E07F7" w:rsidRDefault="0077086C" w:rsidP="0077086C">
      <w:pPr>
        <w:jc w:val="both"/>
        <w:rPr>
          <w:i/>
          <w:color w:val="000000" w:themeColor="text1"/>
          <w:sz w:val="20"/>
          <w:szCs w:val="20"/>
          <w:lang w:val="es-ES_tradnl"/>
        </w:rPr>
      </w:pPr>
    </w:p>
    <w:p w:rsidR="0077086C" w:rsidRPr="00484D7D" w:rsidRDefault="0077086C" w:rsidP="0077086C">
      <w:pPr>
        <w:jc w:val="both"/>
        <w:rPr>
          <w:i/>
          <w:color w:val="000000" w:themeColor="text1"/>
          <w:lang w:val="es-ES_tradnl"/>
        </w:rPr>
      </w:pPr>
      <w:r w:rsidRPr="00484D7D">
        <w:rPr>
          <w:i/>
          <w:color w:val="000000" w:themeColor="text1"/>
          <w:lang w:val="es-ES_tradnl"/>
        </w:rPr>
        <w:t>N°________</w:t>
      </w:r>
    </w:p>
    <w:p w:rsidR="0077086C" w:rsidRPr="0077086C" w:rsidRDefault="0077086C" w:rsidP="0077086C">
      <w:pPr>
        <w:jc w:val="both"/>
        <w:rPr>
          <w:i/>
          <w:color w:val="000000" w:themeColor="text1"/>
          <w:sz w:val="20"/>
          <w:szCs w:val="20"/>
          <w:lang w:val="es-ES_tradnl"/>
        </w:rPr>
      </w:pPr>
    </w:p>
    <w:p w:rsidR="0077086C" w:rsidRPr="0077086C" w:rsidRDefault="0077086C" w:rsidP="0077086C">
      <w:pPr>
        <w:jc w:val="both"/>
        <w:rPr>
          <w:i/>
          <w:color w:val="000000" w:themeColor="text1"/>
          <w:sz w:val="20"/>
          <w:szCs w:val="20"/>
          <w:lang w:val="es-ES_tradnl"/>
        </w:rPr>
      </w:pPr>
    </w:p>
    <w:p w:rsidR="00B27762" w:rsidRDefault="00B27762" w:rsidP="00B27762">
      <w:pPr>
        <w:suppressAutoHyphens/>
        <w:ind w:firstLine="1985"/>
        <w:jc w:val="both"/>
        <w:rPr>
          <w:i/>
          <w:color w:val="000000" w:themeColor="text1"/>
        </w:rPr>
      </w:pPr>
      <w:r w:rsidRPr="00177FED">
        <w:rPr>
          <w:i/>
          <w:color w:val="000000" w:themeColor="text1"/>
        </w:rPr>
        <w:t xml:space="preserve">Para la cobertura de este resultado fiscal negativo y el cumplimiento puntual de las amortizaciones de la deuda pública, se incorpora el desembolso de préstamos externos por </w:t>
      </w:r>
      <w:r w:rsidR="0033309C">
        <w:rPr>
          <w:i/>
          <w:color w:val="000000" w:themeColor="text1"/>
        </w:rPr>
        <w:t>₲</w:t>
      </w:r>
      <w:r w:rsidRPr="00177FED">
        <w:rPr>
          <w:i/>
          <w:color w:val="000000" w:themeColor="text1"/>
        </w:rPr>
        <w:t xml:space="preserve"> </w:t>
      </w:r>
      <w:r>
        <w:rPr>
          <w:i/>
          <w:color w:val="000000" w:themeColor="text1"/>
        </w:rPr>
        <w:t>2</w:t>
      </w:r>
      <w:r w:rsidRPr="00177FED">
        <w:rPr>
          <w:i/>
          <w:color w:val="000000" w:themeColor="text1"/>
        </w:rPr>
        <w:t xml:space="preserve"> billones y la emisión de Bonos del Tesoro por </w:t>
      </w:r>
      <w:r w:rsidR="0033309C">
        <w:rPr>
          <w:i/>
          <w:color w:val="000000" w:themeColor="text1"/>
        </w:rPr>
        <w:t>₲</w:t>
      </w:r>
      <w:r w:rsidRPr="00177FED">
        <w:rPr>
          <w:i/>
          <w:color w:val="000000" w:themeColor="text1"/>
        </w:rPr>
        <w:t xml:space="preserve"> 3,</w:t>
      </w:r>
      <w:r>
        <w:rPr>
          <w:i/>
          <w:color w:val="000000" w:themeColor="text1"/>
        </w:rPr>
        <w:t>3</w:t>
      </w:r>
      <w:r w:rsidRPr="00177FED">
        <w:rPr>
          <w:i/>
          <w:color w:val="000000" w:themeColor="text1"/>
        </w:rPr>
        <w:t xml:space="preserve"> billones. Asimismo, se ha programado el saldo estimado de la </w:t>
      </w:r>
      <w:r>
        <w:rPr>
          <w:i/>
          <w:color w:val="000000" w:themeColor="text1"/>
        </w:rPr>
        <w:t>c</w:t>
      </w:r>
      <w:r w:rsidRPr="00177FED">
        <w:rPr>
          <w:i/>
          <w:color w:val="000000" w:themeColor="text1"/>
        </w:rPr>
        <w:t xml:space="preserve">olocación de los Bonos Soberanos en el exterior en el presente ejercicio por </w:t>
      </w:r>
      <w:r w:rsidR="0033309C">
        <w:rPr>
          <w:i/>
          <w:color w:val="000000" w:themeColor="text1"/>
        </w:rPr>
        <w:t>₲</w:t>
      </w:r>
      <w:r>
        <w:rPr>
          <w:i/>
          <w:color w:val="000000" w:themeColor="text1"/>
        </w:rPr>
        <w:t>137</w:t>
      </w:r>
      <w:r w:rsidRPr="00177FED">
        <w:rPr>
          <w:i/>
          <w:color w:val="000000" w:themeColor="text1"/>
        </w:rPr>
        <w:t xml:space="preserve"> mil millones, lo </w:t>
      </w:r>
      <w:r>
        <w:rPr>
          <w:i/>
          <w:color w:val="000000" w:themeColor="text1"/>
        </w:rPr>
        <w:t>que</w:t>
      </w:r>
      <w:r w:rsidRPr="00177FED">
        <w:rPr>
          <w:i/>
          <w:color w:val="000000" w:themeColor="text1"/>
        </w:rPr>
        <w:t xml:space="preserve"> permitirá la continuidad de los mismos proyectos de inversión aprobados con el financiamiento de estos recursos.</w:t>
      </w:r>
    </w:p>
    <w:p w:rsidR="00B27762" w:rsidRPr="0077086C" w:rsidRDefault="00B27762" w:rsidP="0077086C">
      <w:pPr>
        <w:suppressAutoHyphens/>
        <w:jc w:val="both"/>
        <w:rPr>
          <w:i/>
          <w:color w:val="000000" w:themeColor="text1"/>
          <w:sz w:val="16"/>
          <w:szCs w:val="16"/>
        </w:rPr>
      </w:pPr>
    </w:p>
    <w:p w:rsidR="00B27762" w:rsidRPr="004566C2" w:rsidRDefault="00B27762" w:rsidP="00B27762">
      <w:pPr>
        <w:suppressAutoHyphens/>
        <w:ind w:firstLine="1985"/>
        <w:jc w:val="both"/>
        <w:rPr>
          <w:i/>
          <w:color w:val="000000" w:themeColor="text1"/>
        </w:rPr>
      </w:pPr>
      <w:r w:rsidRPr="004566C2">
        <w:rPr>
          <w:i/>
          <w:color w:val="000000" w:themeColor="text1"/>
        </w:rPr>
        <w:t>C</w:t>
      </w:r>
      <w:r>
        <w:rPr>
          <w:i/>
          <w:color w:val="000000" w:themeColor="text1"/>
        </w:rPr>
        <w:t>errando esta exposición sobre los principales aspectos contenidos en el Proyecto de Presupuesto General de la Nación, solicitamos que el Honorable Congreso Nacional considere los objetivos trazados por el Poder Administrador del Estado para el 2017 en materia de gestión pública: a</w:t>
      </w:r>
      <w:r w:rsidRPr="004566C2">
        <w:rPr>
          <w:i/>
          <w:color w:val="000000" w:themeColor="text1"/>
        </w:rPr>
        <w:t xml:space="preserve">segurar el cumplimiento de las metas sociales, de inversión y seguridad, dentro de lo establecido </w:t>
      </w:r>
      <w:r>
        <w:rPr>
          <w:i/>
          <w:color w:val="000000" w:themeColor="text1"/>
        </w:rPr>
        <w:t>por</w:t>
      </w:r>
      <w:r w:rsidRPr="004566C2">
        <w:rPr>
          <w:i/>
          <w:color w:val="000000" w:themeColor="text1"/>
        </w:rPr>
        <w:t xml:space="preserve"> la Ley de Responsabilidad Fiscal</w:t>
      </w:r>
      <w:r>
        <w:rPr>
          <w:i/>
          <w:color w:val="000000" w:themeColor="text1"/>
        </w:rPr>
        <w:t>; y d</w:t>
      </w:r>
      <w:r w:rsidRPr="004566C2">
        <w:rPr>
          <w:i/>
          <w:color w:val="000000" w:themeColor="text1"/>
        </w:rPr>
        <w:t>isminuir la brecha entre lo presupuestado y lo efectivamente realizado</w:t>
      </w:r>
      <w:r>
        <w:rPr>
          <w:i/>
          <w:color w:val="000000" w:themeColor="text1"/>
        </w:rPr>
        <w:t>, mejorando la calidad del gasto</w:t>
      </w:r>
      <w:r w:rsidRPr="004566C2">
        <w:rPr>
          <w:i/>
          <w:color w:val="000000" w:themeColor="text1"/>
        </w:rPr>
        <w:t>.</w:t>
      </w:r>
    </w:p>
    <w:p w:rsidR="004566C2" w:rsidRPr="0077086C" w:rsidRDefault="004566C2" w:rsidP="00614693">
      <w:pPr>
        <w:suppressAutoHyphens/>
        <w:jc w:val="both"/>
        <w:rPr>
          <w:i/>
          <w:color w:val="000000" w:themeColor="text1"/>
          <w:sz w:val="16"/>
          <w:szCs w:val="16"/>
          <w:highlight w:val="yellow"/>
          <w:lang w:val="es-PY"/>
        </w:rPr>
      </w:pPr>
    </w:p>
    <w:p w:rsidR="00614693" w:rsidRPr="00556983" w:rsidRDefault="00614693" w:rsidP="00556983">
      <w:pPr>
        <w:pStyle w:val="Textoindependiente3"/>
        <w:spacing w:line="240" w:lineRule="auto"/>
        <w:ind w:firstLine="1985"/>
        <w:rPr>
          <w:rFonts w:ascii="Times New Roman" w:hAnsi="Times New Roman"/>
          <w:i/>
          <w:color w:val="000000"/>
          <w:sz w:val="24"/>
          <w:szCs w:val="24"/>
        </w:rPr>
      </w:pPr>
      <w:r w:rsidRPr="00556983">
        <w:rPr>
          <w:rFonts w:ascii="Times New Roman" w:hAnsi="Times New Roman"/>
          <w:i/>
          <w:color w:val="000000"/>
          <w:sz w:val="24"/>
          <w:szCs w:val="24"/>
        </w:rPr>
        <w:t>Finalmente me permito señalar</w:t>
      </w:r>
      <w:r w:rsidR="00F41B90">
        <w:rPr>
          <w:rFonts w:ascii="Times New Roman" w:hAnsi="Times New Roman"/>
          <w:i/>
          <w:color w:val="000000"/>
          <w:sz w:val="24"/>
          <w:szCs w:val="24"/>
        </w:rPr>
        <w:t xml:space="preserve"> que</w:t>
      </w:r>
      <w:r w:rsidRPr="00556983">
        <w:rPr>
          <w:rFonts w:ascii="Times New Roman" w:hAnsi="Times New Roman"/>
          <w:i/>
          <w:color w:val="000000"/>
          <w:sz w:val="24"/>
          <w:szCs w:val="24"/>
        </w:rPr>
        <w:t xml:space="preserve">, </w:t>
      </w:r>
      <w:r w:rsidR="00F41B90">
        <w:rPr>
          <w:rFonts w:ascii="Times New Roman" w:hAnsi="Times New Roman"/>
          <w:i/>
          <w:color w:val="000000"/>
          <w:sz w:val="24"/>
          <w:szCs w:val="24"/>
        </w:rPr>
        <w:t>de acuerdo con</w:t>
      </w:r>
      <w:r w:rsidRPr="00556983">
        <w:rPr>
          <w:rFonts w:ascii="Times New Roman" w:hAnsi="Times New Roman"/>
          <w:i/>
          <w:color w:val="000000"/>
          <w:sz w:val="24"/>
          <w:szCs w:val="24"/>
        </w:rPr>
        <w:t xml:space="preserve"> las disposiciones de la Ley Nº 1535/99</w:t>
      </w:r>
      <w:r w:rsidR="0033309C">
        <w:rPr>
          <w:rFonts w:ascii="Times New Roman" w:hAnsi="Times New Roman"/>
          <w:i/>
          <w:color w:val="000000"/>
          <w:sz w:val="24"/>
          <w:szCs w:val="24"/>
        </w:rPr>
        <w:t>,</w:t>
      </w:r>
      <w:r w:rsidRPr="00556983">
        <w:rPr>
          <w:rFonts w:ascii="Times New Roman" w:hAnsi="Times New Roman"/>
          <w:i/>
          <w:color w:val="000000"/>
          <w:sz w:val="24"/>
          <w:szCs w:val="24"/>
        </w:rPr>
        <w:t xml:space="preserve"> “De Administración Financiera del Estado”</w:t>
      </w:r>
      <w:r w:rsidR="00F41B90">
        <w:rPr>
          <w:rFonts w:ascii="Times New Roman" w:hAnsi="Times New Roman"/>
          <w:i/>
          <w:color w:val="000000"/>
          <w:sz w:val="24"/>
          <w:szCs w:val="24"/>
        </w:rPr>
        <w:t>,</w:t>
      </w:r>
      <w:r w:rsidRPr="00556983">
        <w:rPr>
          <w:rFonts w:ascii="Times New Roman" w:hAnsi="Times New Roman"/>
          <w:i/>
          <w:color w:val="000000"/>
          <w:sz w:val="24"/>
          <w:szCs w:val="24"/>
        </w:rPr>
        <w:t xml:space="preserve"> el Ministerio de Hacienda es el interlocutor </w:t>
      </w:r>
      <w:r w:rsidR="00F41B90">
        <w:rPr>
          <w:rFonts w:ascii="Times New Roman" w:hAnsi="Times New Roman"/>
          <w:i/>
          <w:color w:val="000000"/>
          <w:sz w:val="24"/>
          <w:szCs w:val="24"/>
        </w:rPr>
        <w:t xml:space="preserve">del Poder Ejecutivo </w:t>
      </w:r>
      <w:r w:rsidRPr="00556983">
        <w:rPr>
          <w:rFonts w:ascii="Times New Roman" w:hAnsi="Times New Roman"/>
          <w:i/>
          <w:color w:val="000000"/>
          <w:sz w:val="24"/>
          <w:szCs w:val="24"/>
        </w:rPr>
        <w:t>ante ese Honorable Congreso Nacional durante el proceso de estudio del Proyecto de Ley de Presupuesto.</w:t>
      </w:r>
    </w:p>
    <w:p w:rsidR="00614693" w:rsidRPr="0077086C" w:rsidRDefault="00614693" w:rsidP="00614693">
      <w:pPr>
        <w:suppressAutoHyphens/>
        <w:rPr>
          <w:i/>
          <w:color w:val="000000" w:themeColor="text1"/>
          <w:sz w:val="16"/>
          <w:szCs w:val="16"/>
        </w:rPr>
      </w:pPr>
    </w:p>
    <w:p w:rsidR="00614693" w:rsidRPr="00484D7D" w:rsidRDefault="00614693" w:rsidP="00614693">
      <w:pPr>
        <w:suppressAutoHyphens/>
        <w:ind w:firstLine="1985"/>
        <w:jc w:val="both"/>
        <w:rPr>
          <w:i/>
          <w:color w:val="000000" w:themeColor="text1"/>
        </w:rPr>
      </w:pPr>
      <w:r w:rsidRPr="00484D7D">
        <w:rPr>
          <w:i/>
          <w:color w:val="000000" w:themeColor="text1"/>
        </w:rPr>
        <w:t>Dios guarde a Vuestra Honorabilidad</w:t>
      </w:r>
    </w:p>
    <w:p w:rsidR="00614693" w:rsidRPr="00484D7D" w:rsidRDefault="00614693" w:rsidP="00614693">
      <w:pPr>
        <w:suppressAutoHyphens/>
        <w:jc w:val="both"/>
        <w:rPr>
          <w:i/>
          <w:color w:val="000000" w:themeColor="text1"/>
        </w:rPr>
      </w:pPr>
    </w:p>
    <w:p w:rsidR="00614693" w:rsidRDefault="00614693" w:rsidP="00614693">
      <w:pPr>
        <w:suppressAutoHyphens/>
        <w:rPr>
          <w:i/>
          <w:color w:val="000000" w:themeColor="text1"/>
        </w:rPr>
      </w:pPr>
    </w:p>
    <w:p w:rsidR="00614693" w:rsidRPr="00484D7D" w:rsidRDefault="00614693" w:rsidP="00614693">
      <w:pPr>
        <w:suppressAutoHyphens/>
        <w:rPr>
          <w:i/>
          <w:color w:val="000000" w:themeColor="text1"/>
        </w:rPr>
      </w:pPr>
    </w:p>
    <w:p w:rsidR="00614693" w:rsidRPr="00484D7D" w:rsidRDefault="00614693" w:rsidP="00614693">
      <w:pPr>
        <w:tabs>
          <w:tab w:val="center" w:pos="6379"/>
        </w:tabs>
        <w:ind w:left="1985"/>
        <w:jc w:val="center"/>
        <w:rPr>
          <w:b/>
          <w:i/>
          <w:snapToGrid w:val="0"/>
          <w:color w:val="000000" w:themeColor="text1"/>
        </w:rPr>
      </w:pPr>
      <w:r>
        <w:rPr>
          <w:b/>
          <w:i/>
          <w:snapToGrid w:val="0"/>
          <w:color w:val="000000" w:themeColor="text1"/>
        </w:rPr>
        <w:t>Horacio Manuel Cartes Jara</w:t>
      </w:r>
    </w:p>
    <w:p w:rsidR="00614693" w:rsidRPr="00484D7D" w:rsidRDefault="00614693" w:rsidP="00614693">
      <w:pPr>
        <w:tabs>
          <w:tab w:val="center" w:pos="6379"/>
        </w:tabs>
        <w:ind w:left="1985"/>
        <w:jc w:val="center"/>
        <w:rPr>
          <w:i/>
          <w:snapToGrid w:val="0"/>
          <w:color w:val="000000" w:themeColor="text1"/>
        </w:rPr>
      </w:pPr>
      <w:r w:rsidRPr="00484D7D">
        <w:rPr>
          <w:i/>
          <w:snapToGrid w:val="0"/>
          <w:color w:val="000000" w:themeColor="text1"/>
        </w:rPr>
        <w:t>Presidente de la República del Paraguay</w:t>
      </w:r>
    </w:p>
    <w:p w:rsidR="00614693" w:rsidRPr="00484D7D" w:rsidRDefault="00614693" w:rsidP="00614693">
      <w:pPr>
        <w:rPr>
          <w:i/>
          <w:snapToGrid w:val="0"/>
          <w:color w:val="000000" w:themeColor="text1"/>
        </w:rPr>
      </w:pPr>
    </w:p>
    <w:p w:rsidR="00614693" w:rsidRPr="00484D7D" w:rsidRDefault="00614693" w:rsidP="00614693">
      <w:pPr>
        <w:rPr>
          <w:i/>
          <w:snapToGrid w:val="0"/>
          <w:color w:val="000000" w:themeColor="text1"/>
        </w:rPr>
      </w:pPr>
    </w:p>
    <w:p w:rsidR="00614693" w:rsidRPr="00484D7D" w:rsidRDefault="00614693" w:rsidP="00614693">
      <w:pPr>
        <w:tabs>
          <w:tab w:val="center" w:pos="2127"/>
        </w:tabs>
        <w:rPr>
          <w:b/>
          <w:i/>
          <w:snapToGrid w:val="0"/>
          <w:color w:val="000000" w:themeColor="text1"/>
        </w:rPr>
      </w:pPr>
      <w:r>
        <w:rPr>
          <w:b/>
          <w:i/>
          <w:snapToGrid w:val="0"/>
          <w:color w:val="000000" w:themeColor="text1"/>
        </w:rPr>
        <w:t xml:space="preserve">    </w:t>
      </w:r>
      <w:r w:rsidR="00C328AB">
        <w:rPr>
          <w:b/>
          <w:i/>
          <w:snapToGrid w:val="0"/>
          <w:color w:val="000000" w:themeColor="text1"/>
        </w:rPr>
        <w:t>Santiago Peña Palacios</w:t>
      </w:r>
    </w:p>
    <w:p w:rsidR="00614693" w:rsidRPr="00484D7D" w:rsidRDefault="00614693" w:rsidP="00614693">
      <w:pPr>
        <w:tabs>
          <w:tab w:val="center" w:pos="2127"/>
        </w:tabs>
        <w:rPr>
          <w:i/>
          <w:snapToGrid w:val="0"/>
          <w:color w:val="000000" w:themeColor="text1"/>
        </w:rPr>
      </w:pPr>
      <w:r w:rsidRPr="00484D7D">
        <w:rPr>
          <w:i/>
          <w:snapToGrid w:val="0"/>
          <w:color w:val="000000" w:themeColor="text1"/>
        </w:rPr>
        <w:t xml:space="preserve">     </w:t>
      </w:r>
      <w:r w:rsidR="0033309C">
        <w:rPr>
          <w:i/>
          <w:snapToGrid w:val="0"/>
          <w:color w:val="000000" w:themeColor="text1"/>
        </w:rPr>
        <w:t xml:space="preserve"> </w:t>
      </w:r>
      <w:bookmarkStart w:id="0" w:name="_GoBack"/>
      <w:bookmarkEnd w:id="0"/>
      <w:r w:rsidRPr="00484D7D">
        <w:rPr>
          <w:i/>
          <w:snapToGrid w:val="0"/>
          <w:color w:val="000000" w:themeColor="text1"/>
        </w:rPr>
        <w:t>Ministro de Hacienda</w:t>
      </w:r>
    </w:p>
    <w:p w:rsidR="00614693" w:rsidRPr="00382EB5" w:rsidRDefault="00614693" w:rsidP="00614693">
      <w:pPr>
        <w:pStyle w:val="Puesto"/>
        <w:pBdr>
          <w:bottom w:val="none" w:sz="0" w:space="0" w:color="auto"/>
        </w:pBdr>
        <w:jc w:val="both"/>
        <w:rPr>
          <w:rFonts w:ascii="Times New Roman" w:hAnsi="Times New Roman"/>
          <w:b w:val="0"/>
          <w:i/>
          <w:color w:val="000000" w:themeColor="text1"/>
        </w:rPr>
      </w:pPr>
    </w:p>
    <w:p w:rsidR="00614693" w:rsidRPr="00484D7D" w:rsidRDefault="00614693" w:rsidP="00614693">
      <w:pPr>
        <w:pStyle w:val="Puesto"/>
        <w:pBdr>
          <w:bottom w:val="none" w:sz="0" w:space="0" w:color="auto"/>
        </w:pBdr>
        <w:jc w:val="both"/>
        <w:rPr>
          <w:rFonts w:ascii="Times New Roman" w:hAnsi="Times New Roman"/>
          <w:b w:val="0"/>
          <w:i/>
          <w:color w:val="000000" w:themeColor="text1"/>
          <w:sz w:val="24"/>
          <w:szCs w:val="24"/>
        </w:rPr>
      </w:pPr>
      <w:r w:rsidRPr="00484D7D">
        <w:rPr>
          <w:rFonts w:ascii="Times New Roman" w:hAnsi="Times New Roman"/>
          <w:b w:val="0"/>
          <w:i/>
          <w:color w:val="000000" w:themeColor="text1"/>
          <w:sz w:val="24"/>
          <w:szCs w:val="24"/>
        </w:rPr>
        <w:t>A Su Excelencia</w:t>
      </w:r>
    </w:p>
    <w:p w:rsidR="007F1C24" w:rsidRDefault="007F1C24" w:rsidP="00614693">
      <w:pPr>
        <w:pStyle w:val="Puesto"/>
        <w:pBdr>
          <w:bottom w:val="none" w:sz="0" w:space="0" w:color="auto"/>
        </w:pBdr>
        <w:jc w:val="both"/>
        <w:rPr>
          <w:rFonts w:ascii="Times New Roman" w:hAnsi="Times New Roman"/>
          <w:i/>
          <w:color w:val="000000" w:themeColor="text1"/>
          <w:sz w:val="24"/>
          <w:szCs w:val="24"/>
        </w:rPr>
      </w:pPr>
      <w:r w:rsidRPr="007F1C24">
        <w:rPr>
          <w:rFonts w:ascii="Times New Roman" w:hAnsi="Times New Roman"/>
          <w:i/>
          <w:color w:val="000000" w:themeColor="text1"/>
          <w:sz w:val="24"/>
          <w:szCs w:val="24"/>
        </w:rPr>
        <w:t>Roberto Acevedo Quevedo</w:t>
      </w:r>
      <w:r w:rsidR="00A017D6">
        <w:rPr>
          <w:rFonts w:ascii="Times New Roman" w:hAnsi="Times New Roman"/>
          <w:i/>
          <w:color w:val="000000" w:themeColor="text1"/>
          <w:sz w:val="24"/>
          <w:szCs w:val="24"/>
        </w:rPr>
        <w:t xml:space="preserve">, </w:t>
      </w:r>
      <w:r w:rsidR="00A017D6" w:rsidRPr="00484D7D">
        <w:rPr>
          <w:rFonts w:ascii="Times New Roman" w:hAnsi="Times New Roman"/>
          <w:b w:val="0"/>
          <w:i/>
          <w:color w:val="000000" w:themeColor="text1"/>
          <w:sz w:val="24"/>
          <w:szCs w:val="24"/>
        </w:rPr>
        <w:t>Presidente</w:t>
      </w:r>
    </w:p>
    <w:p w:rsidR="00614693" w:rsidRPr="00484D7D" w:rsidRDefault="00614693" w:rsidP="00614693">
      <w:pPr>
        <w:pStyle w:val="Puesto"/>
        <w:pBdr>
          <w:bottom w:val="none" w:sz="0" w:space="0" w:color="auto"/>
        </w:pBdr>
        <w:jc w:val="both"/>
        <w:rPr>
          <w:rFonts w:ascii="Times New Roman" w:hAnsi="Times New Roman"/>
          <w:b w:val="0"/>
          <w:i/>
          <w:color w:val="000000" w:themeColor="text1"/>
          <w:sz w:val="24"/>
          <w:szCs w:val="24"/>
        </w:rPr>
      </w:pPr>
      <w:r w:rsidRPr="00484D7D">
        <w:rPr>
          <w:rFonts w:ascii="Times New Roman" w:hAnsi="Times New Roman"/>
          <w:b w:val="0"/>
          <w:i/>
          <w:color w:val="000000" w:themeColor="text1"/>
          <w:sz w:val="24"/>
          <w:szCs w:val="24"/>
        </w:rPr>
        <w:t>Honorable Congreso Nacional</w:t>
      </w:r>
    </w:p>
    <w:p w:rsidR="00614693" w:rsidRPr="006F139B" w:rsidRDefault="00614693" w:rsidP="00614693">
      <w:pPr>
        <w:pStyle w:val="Puesto"/>
        <w:pBdr>
          <w:bottom w:val="none" w:sz="0" w:space="0" w:color="auto"/>
        </w:pBdr>
        <w:jc w:val="both"/>
        <w:rPr>
          <w:rFonts w:ascii="Times New Roman" w:hAnsi="Times New Roman"/>
          <w:i/>
          <w:color w:val="000000" w:themeColor="text1"/>
          <w:sz w:val="24"/>
          <w:szCs w:val="24"/>
        </w:rPr>
      </w:pPr>
      <w:r w:rsidRPr="00484D7D">
        <w:rPr>
          <w:rFonts w:ascii="Times New Roman" w:hAnsi="Times New Roman"/>
          <w:b w:val="0"/>
          <w:i/>
          <w:color w:val="000000" w:themeColor="text1"/>
          <w:sz w:val="24"/>
          <w:szCs w:val="24"/>
        </w:rPr>
        <w:t>Palacio Legislativo</w:t>
      </w:r>
      <w:r w:rsidR="00382EB5">
        <w:rPr>
          <w:rFonts w:ascii="Times New Roman" w:hAnsi="Times New Roman"/>
          <w:b w:val="0"/>
          <w:i/>
          <w:color w:val="000000" w:themeColor="text1"/>
          <w:sz w:val="24"/>
          <w:szCs w:val="24"/>
        </w:rPr>
        <w:t>, Asunción</w:t>
      </w:r>
    </w:p>
    <w:sectPr w:rsidR="00614693" w:rsidRPr="006F139B" w:rsidSect="008A4508">
      <w:pgSz w:w="12240" w:h="15840" w:code="1"/>
      <w:pgMar w:top="3686" w:right="1304" w:bottom="426" w:left="24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6CE" w:rsidRDefault="00D246CE" w:rsidP="006160F2">
      <w:r>
        <w:separator/>
      </w:r>
    </w:p>
  </w:endnote>
  <w:endnote w:type="continuationSeparator" w:id="0">
    <w:p w:rsidR="00D246CE" w:rsidRDefault="00D246CE" w:rsidP="0061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6CE" w:rsidRDefault="00D246CE" w:rsidP="006160F2">
      <w:r>
        <w:separator/>
      </w:r>
    </w:p>
  </w:footnote>
  <w:footnote w:type="continuationSeparator" w:id="0">
    <w:p w:rsidR="00D246CE" w:rsidRDefault="00D246CE" w:rsidP="00616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C14"/>
    <w:multiLevelType w:val="hybridMultilevel"/>
    <w:tmpl w:val="2152B49E"/>
    <w:lvl w:ilvl="0" w:tplc="3C0A0009">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07700DAF"/>
    <w:multiLevelType w:val="hybridMultilevel"/>
    <w:tmpl w:val="3ECA2630"/>
    <w:lvl w:ilvl="0" w:tplc="E24ACC60">
      <w:start w:val="1"/>
      <w:numFmt w:val="bullet"/>
      <w:lvlText w:val=""/>
      <w:lvlJc w:val="left"/>
      <w:pPr>
        <w:ind w:left="720" w:hanging="360"/>
      </w:pPr>
      <w:rPr>
        <w:rFonts w:ascii="Symbol" w:hAnsi="Symbol" w:hint="default"/>
        <w:color w:val="auto"/>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15620497"/>
    <w:multiLevelType w:val="hybridMultilevel"/>
    <w:tmpl w:val="C3C4DAD6"/>
    <w:lvl w:ilvl="0" w:tplc="C6E261F2">
      <w:start w:val="1"/>
      <w:numFmt w:val="decimal"/>
      <w:lvlText w:val="%1."/>
      <w:lvlJc w:val="left"/>
      <w:pPr>
        <w:ind w:left="3054" w:hanging="360"/>
      </w:pPr>
      <w:rPr>
        <w:rFonts w:hint="default"/>
        <w:color w:val="000000" w:themeColor="text1"/>
      </w:rPr>
    </w:lvl>
    <w:lvl w:ilvl="1" w:tplc="3C0A0003" w:tentative="1">
      <w:start w:val="1"/>
      <w:numFmt w:val="bullet"/>
      <w:lvlText w:val="o"/>
      <w:lvlJc w:val="left"/>
      <w:pPr>
        <w:ind w:left="3774" w:hanging="360"/>
      </w:pPr>
      <w:rPr>
        <w:rFonts w:ascii="Courier New" w:hAnsi="Courier New" w:cs="Courier New" w:hint="default"/>
      </w:rPr>
    </w:lvl>
    <w:lvl w:ilvl="2" w:tplc="3C0A0005" w:tentative="1">
      <w:start w:val="1"/>
      <w:numFmt w:val="bullet"/>
      <w:lvlText w:val=""/>
      <w:lvlJc w:val="left"/>
      <w:pPr>
        <w:ind w:left="4494" w:hanging="360"/>
      </w:pPr>
      <w:rPr>
        <w:rFonts w:ascii="Wingdings" w:hAnsi="Wingdings" w:hint="default"/>
      </w:rPr>
    </w:lvl>
    <w:lvl w:ilvl="3" w:tplc="3C0A0001" w:tentative="1">
      <w:start w:val="1"/>
      <w:numFmt w:val="bullet"/>
      <w:lvlText w:val=""/>
      <w:lvlJc w:val="left"/>
      <w:pPr>
        <w:ind w:left="5214" w:hanging="360"/>
      </w:pPr>
      <w:rPr>
        <w:rFonts w:ascii="Symbol" w:hAnsi="Symbol" w:hint="default"/>
      </w:rPr>
    </w:lvl>
    <w:lvl w:ilvl="4" w:tplc="3C0A0003" w:tentative="1">
      <w:start w:val="1"/>
      <w:numFmt w:val="bullet"/>
      <w:lvlText w:val="o"/>
      <w:lvlJc w:val="left"/>
      <w:pPr>
        <w:ind w:left="5934" w:hanging="360"/>
      </w:pPr>
      <w:rPr>
        <w:rFonts w:ascii="Courier New" w:hAnsi="Courier New" w:cs="Courier New" w:hint="default"/>
      </w:rPr>
    </w:lvl>
    <w:lvl w:ilvl="5" w:tplc="3C0A0005" w:tentative="1">
      <w:start w:val="1"/>
      <w:numFmt w:val="bullet"/>
      <w:lvlText w:val=""/>
      <w:lvlJc w:val="left"/>
      <w:pPr>
        <w:ind w:left="6654" w:hanging="360"/>
      </w:pPr>
      <w:rPr>
        <w:rFonts w:ascii="Wingdings" w:hAnsi="Wingdings" w:hint="default"/>
      </w:rPr>
    </w:lvl>
    <w:lvl w:ilvl="6" w:tplc="3C0A0001" w:tentative="1">
      <w:start w:val="1"/>
      <w:numFmt w:val="bullet"/>
      <w:lvlText w:val=""/>
      <w:lvlJc w:val="left"/>
      <w:pPr>
        <w:ind w:left="7374" w:hanging="360"/>
      </w:pPr>
      <w:rPr>
        <w:rFonts w:ascii="Symbol" w:hAnsi="Symbol" w:hint="default"/>
      </w:rPr>
    </w:lvl>
    <w:lvl w:ilvl="7" w:tplc="3C0A0003" w:tentative="1">
      <w:start w:val="1"/>
      <w:numFmt w:val="bullet"/>
      <w:lvlText w:val="o"/>
      <w:lvlJc w:val="left"/>
      <w:pPr>
        <w:ind w:left="8094" w:hanging="360"/>
      </w:pPr>
      <w:rPr>
        <w:rFonts w:ascii="Courier New" w:hAnsi="Courier New" w:cs="Courier New" w:hint="default"/>
      </w:rPr>
    </w:lvl>
    <w:lvl w:ilvl="8" w:tplc="3C0A0005" w:tentative="1">
      <w:start w:val="1"/>
      <w:numFmt w:val="bullet"/>
      <w:lvlText w:val=""/>
      <w:lvlJc w:val="left"/>
      <w:pPr>
        <w:ind w:left="8814" w:hanging="360"/>
      </w:pPr>
      <w:rPr>
        <w:rFonts w:ascii="Wingdings" w:hAnsi="Wingdings" w:hint="default"/>
      </w:rPr>
    </w:lvl>
  </w:abstractNum>
  <w:abstractNum w:abstractNumId="3" w15:restartNumberingAfterBreak="0">
    <w:nsid w:val="20CD1F9D"/>
    <w:multiLevelType w:val="hybridMultilevel"/>
    <w:tmpl w:val="B72A446C"/>
    <w:lvl w:ilvl="0" w:tplc="B28C109C">
      <w:start w:val="1"/>
      <w:numFmt w:val="bullet"/>
      <w:lvlText w:val="-"/>
      <w:lvlJc w:val="left"/>
      <w:pPr>
        <w:ind w:left="2705" w:hanging="360"/>
      </w:pPr>
      <w:rPr>
        <w:rFonts w:ascii="Times New Roman" w:eastAsia="Times New Roman" w:hAnsi="Times New Roman" w:cs="Times New Roman" w:hint="default"/>
      </w:rPr>
    </w:lvl>
    <w:lvl w:ilvl="1" w:tplc="0C0A0003" w:tentative="1">
      <w:start w:val="1"/>
      <w:numFmt w:val="bullet"/>
      <w:lvlText w:val="o"/>
      <w:lvlJc w:val="left"/>
      <w:pPr>
        <w:ind w:left="3425" w:hanging="360"/>
      </w:pPr>
      <w:rPr>
        <w:rFonts w:ascii="Courier New" w:hAnsi="Courier New" w:cs="Courier New" w:hint="default"/>
      </w:rPr>
    </w:lvl>
    <w:lvl w:ilvl="2" w:tplc="0C0A0005" w:tentative="1">
      <w:start w:val="1"/>
      <w:numFmt w:val="bullet"/>
      <w:lvlText w:val=""/>
      <w:lvlJc w:val="left"/>
      <w:pPr>
        <w:ind w:left="4145" w:hanging="360"/>
      </w:pPr>
      <w:rPr>
        <w:rFonts w:ascii="Wingdings" w:hAnsi="Wingdings" w:hint="default"/>
      </w:rPr>
    </w:lvl>
    <w:lvl w:ilvl="3" w:tplc="0C0A0001" w:tentative="1">
      <w:start w:val="1"/>
      <w:numFmt w:val="bullet"/>
      <w:lvlText w:val=""/>
      <w:lvlJc w:val="left"/>
      <w:pPr>
        <w:ind w:left="4865" w:hanging="360"/>
      </w:pPr>
      <w:rPr>
        <w:rFonts w:ascii="Symbol" w:hAnsi="Symbol" w:hint="default"/>
      </w:rPr>
    </w:lvl>
    <w:lvl w:ilvl="4" w:tplc="0C0A0003" w:tentative="1">
      <w:start w:val="1"/>
      <w:numFmt w:val="bullet"/>
      <w:lvlText w:val="o"/>
      <w:lvlJc w:val="left"/>
      <w:pPr>
        <w:ind w:left="5585" w:hanging="360"/>
      </w:pPr>
      <w:rPr>
        <w:rFonts w:ascii="Courier New" w:hAnsi="Courier New" w:cs="Courier New" w:hint="default"/>
      </w:rPr>
    </w:lvl>
    <w:lvl w:ilvl="5" w:tplc="0C0A0005" w:tentative="1">
      <w:start w:val="1"/>
      <w:numFmt w:val="bullet"/>
      <w:lvlText w:val=""/>
      <w:lvlJc w:val="left"/>
      <w:pPr>
        <w:ind w:left="6305" w:hanging="360"/>
      </w:pPr>
      <w:rPr>
        <w:rFonts w:ascii="Wingdings" w:hAnsi="Wingdings" w:hint="default"/>
      </w:rPr>
    </w:lvl>
    <w:lvl w:ilvl="6" w:tplc="0C0A0001" w:tentative="1">
      <w:start w:val="1"/>
      <w:numFmt w:val="bullet"/>
      <w:lvlText w:val=""/>
      <w:lvlJc w:val="left"/>
      <w:pPr>
        <w:ind w:left="7025" w:hanging="360"/>
      </w:pPr>
      <w:rPr>
        <w:rFonts w:ascii="Symbol" w:hAnsi="Symbol" w:hint="default"/>
      </w:rPr>
    </w:lvl>
    <w:lvl w:ilvl="7" w:tplc="0C0A0003" w:tentative="1">
      <w:start w:val="1"/>
      <w:numFmt w:val="bullet"/>
      <w:lvlText w:val="o"/>
      <w:lvlJc w:val="left"/>
      <w:pPr>
        <w:ind w:left="7745" w:hanging="360"/>
      </w:pPr>
      <w:rPr>
        <w:rFonts w:ascii="Courier New" w:hAnsi="Courier New" w:cs="Courier New" w:hint="default"/>
      </w:rPr>
    </w:lvl>
    <w:lvl w:ilvl="8" w:tplc="0C0A0005" w:tentative="1">
      <w:start w:val="1"/>
      <w:numFmt w:val="bullet"/>
      <w:lvlText w:val=""/>
      <w:lvlJc w:val="left"/>
      <w:pPr>
        <w:ind w:left="8465" w:hanging="360"/>
      </w:pPr>
      <w:rPr>
        <w:rFonts w:ascii="Wingdings" w:hAnsi="Wingdings" w:hint="default"/>
      </w:rPr>
    </w:lvl>
  </w:abstractNum>
  <w:abstractNum w:abstractNumId="4" w15:restartNumberingAfterBreak="0">
    <w:nsid w:val="2369231D"/>
    <w:multiLevelType w:val="hybridMultilevel"/>
    <w:tmpl w:val="E54081A0"/>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34740214"/>
    <w:multiLevelType w:val="hybridMultilevel"/>
    <w:tmpl w:val="ECFC48FC"/>
    <w:lvl w:ilvl="0" w:tplc="B28C109C">
      <w:start w:val="1"/>
      <w:numFmt w:val="bullet"/>
      <w:lvlText w:val="-"/>
      <w:lvlJc w:val="left"/>
      <w:pPr>
        <w:ind w:left="3272" w:hanging="360"/>
      </w:pPr>
      <w:rPr>
        <w:rFonts w:ascii="Times New Roman" w:eastAsia="Times New Roman" w:hAnsi="Times New Roman" w:cs="Times New Roman" w:hint="default"/>
        <w:color w:val="auto"/>
      </w:rPr>
    </w:lvl>
    <w:lvl w:ilvl="1" w:tplc="3C0A0003" w:tentative="1">
      <w:start w:val="1"/>
      <w:numFmt w:val="bullet"/>
      <w:lvlText w:val="o"/>
      <w:lvlJc w:val="left"/>
      <w:pPr>
        <w:ind w:left="3992" w:hanging="360"/>
      </w:pPr>
      <w:rPr>
        <w:rFonts w:ascii="Courier New" w:hAnsi="Courier New" w:cs="Courier New" w:hint="default"/>
      </w:rPr>
    </w:lvl>
    <w:lvl w:ilvl="2" w:tplc="3C0A0005" w:tentative="1">
      <w:start w:val="1"/>
      <w:numFmt w:val="bullet"/>
      <w:lvlText w:val=""/>
      <w:lvlJc w:val="left"/>
      <w:pPr>
        <w:ind w:left="4712" w:hanging="360"/>
      </w:pPr>
      <w:rPr>
        <w:rFonts w:ascii="Wingdings" w:hAnsi="Wingdings" w:hint="default"/>
      </w:rPr>
    </w:lvl>
    <w:lvl w:ilvl="3" w:tplc="3C0A0001" w:tentative="1">
      <w:start w:val="1"/>
      <w:numFmt w:val="bullet"/>
      <w:lvlText w:val=""/>
      <w:lvlJc w:val="left"/>
      <w:pPr>
        <w:ind w:left="5432" w:hanging="360"/>
      </w:pPr>
      <w:rPr>
        <w:rFonts w:ascii="Symbol" w:hAnsi="Symbol" w:hint="default"/>
      </w:rPr>
    </w:lvl>
    <w:lvl w:ilvl="4" w:tplc="3C0A0003" w:tentative="1">
      <w:start w:val="1"/>
      <w:numFmt w:val="bullet"/>
      <w:lvlText w:val="o"/>
      <w:lvlJc w:val="left"/>
      <w:pPr>
        <w:ind w:left="6152" w:hanging="360"/>
      </w:pPr>
      <w:rPr>
        <w:rFonts w:ascii="Courier New" w:hAnsi="Courier New" w:cs="Courier New" w:hint="default"/>
      </w:rPr>
    </w:lvl>
    <w:lvl w:ilvl="5" w:tplc="3C0A0005" w:tentative="1">
      <w:start w:val="1"/>
      <w:numFmt w:val="bullet"/>
      <w:lvlText w:val=""/>
      <w:lvlJc w:val="left"/>
      <w:pPr>
        <w:ind w:left="6872" w:hanging="360"/>
      </w:pPr>
      <w:rPr>
        <w:rFonts w:ascii="Wingdings" w:hAnsi="Wingdings" w:hint="default"/>
      </w:rPr>
    </w:lvl>
    <w:lvl w:ilvl="6" w:tplc="3C0A0001" w:tentative="1">
      <w:start w:val="1"/>
      <w:numFmt w:val="bullet"/>
      <w:lvlText w:val=""/>
      <w:lvlJc w:val="left"/>
      <w:pPr>
        <w:ind w:left="7592" w:hanging="360"/>
      </w:pPr>
      <w:rPr>
        <w:rFonts w:ascii="Symbol" w:hAnsi="Symbol" w:hint="default"/>
      </w:rPr>
    </w:lvl>
    <w:lvl w:ilvl="7" w:tplc="3C0A0003" w:tentative="1">
      <w:start w:val="1"/>
      <w:numFmt w:val="bullet"/>
      <w:lvlText w:val="o"/>
      <w:lvlJc w:val="left"/>
      <w:pPr>
        <w:ind w:left="8312" w:hanging="360"/>
      </w:pPr>
      <w:rPr>
        <w:rFonts w:ascii="Courier New" w:hAnsi="Courier New" w:cs="Courier New" w:hint="default"/>
      </w:rPr>
    </w:lvl>
    <w:lvl w:ilvl="8" w:tplc="3C0A0005" w:tentative="1">
      <w:start w:val="1"/>
      <w:numFmt w:val="bullet"/>
      <w:lvlText w:val=""/>
      <w:lvlJc w:val="left"/>
      <w:pPr>
        <w:ind w:left="9032" w:hanging="360"/>
      </w:pPr>
      <w:rPr>
        <w:rFonts w:ascii="Wingdings" w:hAnsi="Wingdings" w:hint="default"/>
      </w:rPr>
    </w:lvl>
  </w:abstractNum>
  <w:abstractNum w:abstractNumId="6" w15:restartNumberingAfterBreak="0">
    <w:nsid w:val="3A61498D"/>
    <w:multiLevelType w:val="hybridMultilevel"/>
    <w:tmpl w:val="7254A4C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4430104"/>
    <w:multiLevelType w:val="hybridMultilevel"/>
    <w:tmpl w:val="46CA4480"/>
    <w:lvl w:ilvl="0" w:tplc="E24ACC60">
      <w:start w:val="1"/>
      <w:numFmt w:val="bullet"/>
      <w:lvlText w:val=""/>
      <w:lvlJc w:val="left"/>
      <w:pPr>
        <w:ind w:left="720" w:hanging="360"/>
      </w:pPr>
      <w:rPr>
        <w:rFonts w:ascii="Symbol" w:hAnsi="Symbol" w:hint="default"/>
        <w:color w:val="auto"/>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4BEA0DB6"/>
    <w:multiLevelType w:val="hybridMultilevel"/>
    <w:tmpl w:val="6E7E5102"/>
    <w:lvl w:ilvl="0" w:tplc="E24ACC60">
      <w:start w:val="1"/>
      <w:numFmt w:val="bullet"/>
      <w:lvlText w:val=""/>
      <w:lvlJc w:val="left"/>
      <w:pPr>
        <w:ind w:left="720" w:hanging="360"/>
      </w:pPr>
      <w:rPr>
        <w:rFonts w:ascii="Symbol" w:hAnsi="Symbol" w:hint="default"/>
        <w:color w:val="auto"/>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517703DF"/>
    <w:multiLevelType w:val="hybridMultilevel"/>
    <w:tmpl w:val="C30AFE2E"/>
    <w:lvl w:ilvl="0" w:tplc="6466358C">
      <w:start w:val="1"/>
      <w:numFmt w:val="decimal"/>
      <w:lvlText w:val="%1."/>
      <w:lvlJc w:val="left"/>
      <w:pPr>
        <w:ind w:left="2345" w:hanging="360"/>
      </w:pPr>
      <w:rPr>
        <w:rFonts w:hint="default"/>
      </w:rPr>
    </w:lvl>
    <w:lvl w:ilvl="1" w:tplc="0C0A0019" w:tentative="1">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10" w15:restartNumberingAfterBreak="0">
    <w:nsid w:val="5A2F065B"/>
    <w:multiLevelType w:val="hybridMultilevel"/>
    <w:tmpl w:val="E384E49A"/>
    <w:lvl w:ilvl="0" w:tplc="E24ACC60">
      <w:start w:val="1"/>
      <w:numFmt w:val="bullet"/>
      <w:lvlText w:val=""/>
      <w:lvlJc w:val="left"/>
      <w:pPr>
        <w:ind w:left="720" w:hanging="360"/>
      </w:pPr>
      <w:rPr>
        <w:rFonts w:ascii="Symbol" w:hAnsi="Symbol" w:hint="default"/>
        <w:color w:val="auto"/>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75A61FC3"/>
    <w:multiLevelType w:val="hybridMultilevel"/>
    <w:tmpl w:val="7254A4C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7"/>
  </w:num>
  <w:num w:numId="10">
    <w:abstractNumId w:val="5"/>
  </w:num>
  <w:num w:numId="11">
    <w:abstractNumId w:val="1"/>
  </w:num>
  <w:num w:numId="12">
    <w:abstractNumId w:val="8"/>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93"/>
    <w:rsid w:val="00000307"/>
    <w:rsid w:val="00007265"/>
    <w:rsid w:val="00007A64"/>
    <w:rsid w:val="00010BB8"/>
    <w:rsid w:val="0001393C"/>
    <w:rsid w:val="00017643"/>
    <w:rsid w:val="0002032C"/>
    <w:rsid w:val="00020693"/>
    <w:rsid w:val="00025ED0"/>
    <w:rsid w:val="00026083"/>
    <w:rsid w:val="000413E8"/>
    <w:rsid w:val="00044EAD"/>
    <w:rsid w:val="000474ED"/>
    <w:rsid w:val="00051203"/>
    <w:rsid w:val="0005159F"/>
    <w:rsid w:val="00060A36"/>
    <w:rsid w:val="00063222"/>
    <w:rsid w:val="00065E97"/>
    <w:rsid w:val="0008059D"/>
    <w:rsid w:val="00085A2E"/>
    <w:rsid w:val="000A30AF"/>
    <w:rsid w:val="000A525D"/>
    <w:rsid w:val="000A52B2"/>
    <w:rsid w:val="000A6EB9"/>
    <w:rsid w:val="000B58C9"/>
    <w:rsid w:val="000B7DE3"/>
    <w:rsid w:val="000C1173"/>
    <w:rsid w:val="000D043D"/>
    <w:rsid w:val="000E0D7A"/>
    <w:rsid w:val="000E24D0"/>
    <w:rsid w:val="000E7D89"/>
    <w:rsid w:val="000F2E71"/>
    <w:rsid w:val="000F34F7"/>
    <w:rsid w:val="000F3B6E"/>
    <w:rsid w:val="000F665F"/>
    <w:rsid w:val="000F7A26"/>
    <w:rsid w:val="0010237D"/>
    <w:rsid w:val="00111E9F"/>
    <w:rsid w:val="00114C58"/>
    <w:rsid w:val="00114DA6"/>
    <w:rsid w:val="00114F2A"/>
    <w:rsid w:val="001152B2"/>
    <w:rsid w:val="001156A3"/>
    <w:rsid w:val="00117D45"/>
    <w:rsid w:val="00123802"/>
    <w:rsid w:val="001244CC"/>
    <w:rsid w:val="0013743B"/>
    <w:rsid w:val="00141BD1"/>
    <w:rsid w:val="00147CFD"/>
    <w:rsid w:val="00152C20"/>
    <w:rsid w:val="00154AB2"/>
    <w:rsid w:val="001610F4"/>
    <w:rsid w:val="001641E2"/>
    <w:rsid w:val="00172EBC"/>
    <w:rsid w:val="001748AF"/>
    <w:rsid w:val="00177FED"/>
    <w:rsid w:val="00183BE4"/>
    <w:rsid w:val="001851A9"/>
    <w:rsid w:val="00197B32"/>
    <w:rsid w:val="001B4A88"/>
    <w:rsid w:val="001C425C"/>
    <w:rsid w:val="001C6FE5"/>
    <w:rsid w:val="001D72FB"/>
    <w:rsid w:val="001E461E"/>
    <w:rsid w:val="001E50FD"/>
    <w:rsid w:val="001F4CD0"/>
    <w:rsid w:val="001F540A"/>
    <w:rsid w:val="001F6A22"/>
    <w:rsid w:val="00200049"/>
    <w:rsid w:val="00202788"/>
    <w:rsid w:val="0020548E"/>
    <w:rsid w:val="00215833"/>
    <w:rsid w:val="002237FB"/>
    <w:rsid w:val="002266D4"/>
    <w:rsid w:val="00231D00"/>
    <w:rsid w:val="00233CA3"/>
    <w:rsid w:val="002361AF"/>
    <w:rsid w:val="002403BC"/>
    <w:rsid w:val="002428C4"/>
    <w:rsid w:val="00252B56"/>
    <w:rsid w:val="002572B8"/>
    <w:rsid w:val="00257F55"/>
    <w:rsid w:val="002640FE"/>
    <w:rsid w:val="0026429F"/>
    <w:rsid w:val="00265B0C"/>
    <w:rsid w:val="00267BB5"/>
    <w:rsid w:val="00270BAB"/>
    <w:rsid w:val="00270F4A"/>
    <w:rsid w:val="00280175"/>
    <w:rsid w:val="00280884"/>
    <w:rsid w:val="002827C9"/>
    <w:rsid w:val="002901F4"/>
    <w:rsid w:val="00293AF1"/>
    <w:rsid w:val="002A0E14"/>
    <w:rsid w:val="002A15D6"/>
    <w:rsid w:val="002C1ED0"/>
    <w:rsid w:val="002D1250"/>
    <w:rsid w:val="002D1E78"/>
    <w:rsid w:val="002E6368"/>
    <w:rsid w:val="002F58CE"/>
    <w:rsid w:val="002F6D8E"/>
    <w:rsid w:val="00302FC6"/>
    <w:rsid w:val="0030328B"/>
    <w:rsid w:val="00307154"/>
    <w:rsid w:val="00307726"/>
    <w:rsid w:val="003114AD"/>
    <w:rsid w:val="00316875"/>
    <w:rsid w:val="00317ABC"/>
    <w:rsid w:val="00320F5C"/>
    <w:rsid w:val="0032138B"/>
    <w:rsid w:val="00321795"/>
    <w:rsid w:val="00325CFA"/>
    <w:rsid w:val="00326C4E"/>
    <w:rsid w:val="0033309C"/>
    <w:rsid w:val="00334665"/>
    <w:rsid w:val="0033627A"/>
    <w:rsid w:val="003421B6"/>
    <w:rsid w:val="0036144B"/>
    <w:rsid w:val="00365534"/>
    <w:rsid w:val="00367A95"/>
    <w:rsid w:val="00370C1F"/>
    <w:rsid w:val="00370EEA"/>
    <w:rsid w:val="00371623"/>
    <w:rsid w:val="003800D3"/>
    <w:rsid w:val="00382EB5"/>
    <w:rsid w:val="00383323"/>
    <w:rsid w:val="00392CE7"/>
    <w:rsid w:val="003947DD"/>
    <w:rsid w:val="003A37E2"/>
    <w:rsid w:val="003A505F"/>
    <w:rsid w:val="003A5C7D"/>
    <w:rsid w:val="003A7CF7"/>
    <w:rsid w:val="003C08B5"/>
    <w:rsid w:val="003C2EBA"/>
    <w:rsid w:val="003C7F3E"/>
    <w:rsid w:val="003D01EC"/>
    <w:rsid w:val="003D1EDF"/>
    <w:rsid w:val="003D5757"/>
    <w:rsid w:val="003D6D3F"/>
    <w:rsid w:val="003D7354"/>
    <w:rsid w:val="003E57C4"/>
    <w:rsid w:val="004004AC"/>
    <w:rsid w:val="0041233C"/>
    <w:rsid w:val="00421341"/>
    <w:rsid w:val="004225CB"/>
    <w:rsid w:val="004257ED"/>
    <w:rsid w:val="00430FA7"/>
    <w:rsid w:val="00432D05"/>
    <w:rsid w:val="00435138"/>
    <w:rsid w:val="004356DB"/>
    <w:rsid w:val="00437464"/>
    <w:rsid w:val="004450DF"/>
    <w:rsid w:val="004463B6"/>
    <w:rsid w:val="0045620D"/>
    <w:rsid w:val="004566C2"/>
    <w:rsid w:val="00457F68"/>
    <w:rsid w:val="00465F92"/>
    <w:rsid w:val="00470753"/>
    <w:rsid w:val="00486085"/>
    <w:rsid w:val="0048620C"/>
    <w:rsid w:val="004A08F1"/>
    <w:rsid w:val="004A6334"/>
    <w:rsid w:val="004B0ACA"/>
    <w:rsid w:val="004B487D"/>
    <w:rsid w:val="004B79CD"/>
    <w:rsid w:val="004C100C"/>
    <w:rsid w:val="004D245D"/>
    <w:rsid w:val="004D550A"/>
    <w:rsid w:val="004D679E"/>
    <w:rsid w:val="004D6CA3"/>
    <w:rsid w:val="004E07F7"/>
    <w:rsid w:val="004E69C0"/>
    <w:rsid w:val="00506BA5"/>
    <w:rsid w:val="0051011A"/>
    <w:rsid w:val="005102BE"/>
    <w:rsid w:val="00510542"/>
    <w:rsid w:val="00522310"/>
    <w:rsid w:val="00523D80"/>
    <w:rsid w:val="00532158"/>
    <w:rsid w:val="0053470D"/>
    <w:rsid w:val="0053580F"/>
    <w:rsid w:val="00536372"/>
    <w:rsid w:val="00536933"/>
    <w:rsid w:val="00537F3A"/>
    <w:rsid w:val="00546F04"/>
    <w:rsid w:val="00547B0E"/>
    <w:rsid w:val="005505C6"/>
    <w:rsid w:val="00553057"/>
    <w:rsid w:val="00556983"/>
    <w:rsid w:val="005634CE"/>
    <w:rsid w:val="00567E96"/>
    <w:rsid w:val="0058173B"/>
    <w:rsid w:val="005835B3"/>
    <w:rsid w:val="005844F9"/>
    <w:rsid w:val="0059774E"/>
    <w:rsid w:val="005C1560"/>
    <w:rsid w:val="005D7A20"/>
    <w:rsid w:val="005E0857"/>
    <w:rsid w:val="005E34EC"/>
    <w:rsid w:val="005F3172"/>
    <w:rsid w:val="00604366"/>
    <w:rsid w:val="006043FA"/>
    <w:rsid w:val="00614693"/>
    <w:rsid w:val="006160F2"/>
    <w:rsid w:val="006168C9"/>
    <w:rsid w:val="00616A4D"/>
    <w:rsid w:val="006250D2"/>
    <w:rsid w:val="00633EA1"/>
    <w:rsid w:val="0064687C"/>
    <w:rsid w:val="006508FD"/>
    <w:rsid w:val="0065640D"/>
    <w:rsid w:val="00661736"/>
    <w:rsid w:val="0066503A"/>
    <w:rsid w:val="00667DD2"/>
    <w:rsid w:val="00670FD3"/>
    <w:rsid w:val="00676BDD"/>
    <w:rsid w:val="00682B49"/>
    <w:rsid w:val="00687895"/>
    <w:rsid w:val="00690103"/>
    <w:rsid w:val="006925F3"/>
    <w:rsid w:val="00696CB1"/>
    <w:rsid w:val="006A236E"/>
    <w:rsid w:val="006A6ECD"/>
    <w:rsid w:val="006B0316"/>
    <w:rsid w:val="006B1D9C"/>
    <w:rsid w:val="006B768E"/>
    <w:rsid w:val="006C0889"/>
    <w:rsid w:val="006C5457"/>
    <w:rsid w:val="006C73BA"/>
    <w:rsid w:val="006D0217"/>
    <w:rsid w:val="006D2A03"/>
    <w:rsid w:val="006D79D9"/>
    <w:rsid w:val="006E4655"/>
    <w:rsid w:val="006F106D"/>
    <w:rsid w:val="007028AB"/>
    <w:rsid w:val="0071099E"/>
    <w:rsid w:val="0071480D"/>
    <w:rsid w:val="00723B07"/>
    <w:rsid w:val="00725985"/>
    <w:rsid w:val="00725C0A"/>
    <w:rsid w:val="007323A4"/>
    <w:rsid w:val="00733E32"/>
    <w:rsid w:val="007340A1"/>
    <w:rsid w:val="007403B2"/>
    <w:rsid w:val="00741617"/>
    <w:rsid w:val="00743309"/>
    <w:rsid w:val="00744E71"/>
    <w:rsid w:val="00746ED8"/>
    <w:rsid w:val="00747858"/>
    <w:rsid w:val="007513C2"/>
    <w:rsid w:val="00751785"/>
    <w:rsid w:val="00755B2C"/>
    <w:rsid w:val="007616A1"/>
    <w:rsid w:val="0077086C"/>
    <w:rsid w:val="00776632"/>
    <w:rsid w:val="00780142"/>
    <w:rsid w:val="00786EA6"/>
    <w:rsid w:val="00790B8E"/>
    <w:rsid w:val="007934D2"/>
    <w:rsid w:val="00795F3F"/>
    <w:rsid w:val="007A0621"/>
    <w:rsid w:val="007B1E22"/>
    <w:rsid w:val="007B30B3"/>
    <w:rsid w:val="007B76AE"/>
    <w:rsid w:val="007C141F"/>
    <w:rsid w:val="007D242E"/>
    <w:rsid w:val="007D6911"/>
    <w:rsid w:val="007E34AC"/>
    <w:rsid w:val="007F1C24"/>
    <w:rsid w:val="007F290C"/>
    <w:rsid w:val="007F37EC"/>
    <w:rsid w:val="007F50E6"/>
    <w:rsid w:val="007F6240"/>
    <w:rsid w:val="008056DD"/>
    <w:rsid w:val="008121ED"/>
    <w:rsid w:val="0081568B"/>
    <w:rsid w:val="00830337"/>
    <w:rsid w:val="008334A5"/>
    <w:rsid w:val="00837D0A"/>
    <w:rsid w:val="00837FDE"/>
    <w:rsid w:val="00851181"/>
    <w:rsid w:val="00852E2C"/>
    <w:rsid w:val="00855A64"/>
    <w:rsid w:val="00867171"/>
    <w:rsid w:val="00871F45"/>
    <w:rsid w:val="00873117"/>
    <w:rsid w:val="00880DBC"/>
    <w:rsid w:val="008829E1"/>
    <w:rsid w:val="0089139B"/>
    <w:rsid w:val="00892307"/>
    <w:rsid w:val="00892BDE"/>
    <w:rsid w:val="00894FA1"/>
    <w:rsid w:val="008978E0"/>
    <w:rsid w:val="00897F15"/>
    <w:rsid w:val="008A4508"/>
    <w:rsid w:val="008B5A88"/>
    <w:rsid w:val="008C7E84"/>
    <w:rsid w:val="008D375F"/>
    <w:rsid w:val="008D4A03"/>
    <w:rsid w:val="008E052B"/>
    <w:rsid w:val="008E0B56"/>
    <w:rsid w:val="008F1EC7"/>
    <w:rsid w:val="008F2D60"/>
    <w:rsid w:val="008F3E37"/>
    <w:rsid w:val="0090164A"/>
    <w:rsid w:val="00906FC4"/>
    <w:rsid w:val="00910FAC"/>
    <w:rsid w:val="00912A82"/>
    <w:rsid w:val="00916722"/>
    <w:rsid w:val="009348CA"/>
    <w:rsid w:val="00936FBD"/>
    <w:rsid w:val="00940A66"/>
    <w:rsid w:val="00941828"/>
    <w:rsid w:val="00941FA9"/>
    <w:rsid w:val="009423FE"/>
    <w:rsid w:val="00942C28"/>
    <w:rsid w:val="0094608F"/>
    <w:rsid w:val="009529FB"/>
    <w:rsid w:val="00952E23"/>
    <w:rsid w:val="009568F6"/>
    <w:rsid w:val="00962349"/>
    <w:rsid w:val="009626E1"/>
    <w:rsid w:val="009729CE"/>
    <w:rsid w:val="00972F08"/>
    <w:rsid w:val="00981A89"/>
    <w:rsid w:val="00990B29"/>
    <w:rsid w:val="0099553A"/>
    <w:rsid w:val="00995665"/>
    <w:rsid w:val="009A01D1"/>
    <w:rsid w:val="009B3D9D"/>
    <w:rsid w:val="009B4207"/>
    <w:rsid w:val="009B7D30"/>
    <w:rsid w:val="009D0A5C"/>
    <w:rsid w:val="009D3837"/>
    <w:rsid w:val="009E0AE5"/>
    <w:rsid w:val="009E6D06"/>
    <w:rsid w:val="00A017D6"/>
    <w:rsid w:val="00A12DDC"/>
    <w:rsid w:val="00A16D0D"/>
    <w:rsid w:val="00A22B56"/>
    <w:rsid w:val="00A30923"/>
    <w:rsid w:val="00A35590"/>
    <w:rsid w:val="00A40269"/>
    <w:rsid w:val="00A420C7"/>
    <w:rsid w:val="00A43C36"/>
    <w:rsid w:val="00A45536"/>
    <w:rsid w:val="00A46151"/>
    <w:rsid w:val="00A464E3"/>
    <w:rsid w:val="00A53C3F"/>
    <w:rsid w:val="00A5409A"/>
    <w:rsid w:val="00A64B89"/>
    <w:rsid w:val="00A804FB"/>
    <w:rsid w:val="00A8725A"/>
    <w:rsid w:val="00A91485"/>
    <w:rsid w:val="00A97ABA"/>
    <w:rsid w:val="00A97E92"/>
    <w:rsid w:val="00AA1FD9"/>
    <w:rsid w:val="00AA4D40"/>
    <w:rsid w:val="00AA7DE0"/>
    <w:rsid w:val="00AB0D1C"/>
    <w:rsid w:val="00AB18EB"/>
    <w:rsid w:val="00AB750B"/>
    <w:rsid w:val="00AD6C1B"/>
    <w:rsid w:val="00AD75B9"/>
    <w:rsid w:val="00AE0797"/>
    <w:rsid w:val="00AE0EC7"/>
    <w:rsid w:val="00AE1B1B"/>
    <w:rsid w:val="00AE40A2"/>
    <w:rsid w:val="00AE72F6"/>
    <w:rsid w:val="00AF6310"/>
    <w:rsid w:val="00B00EAC"/>
    <w:rsid w:val="00B17B12"/>
    <w:rsid w:val="00B27005"/>
    <w:rsid w:val="00B27762"/>
    <w:rsid w:val="00B313B7"/>
    <w:rsid w:val="00B32696"/>
    <w:rsid w:val="00B34BB4"/>
    <w:rsid w:val="00B40597"/>
    <w:rsid w:val="00B40676"/>
    <w:rsid w:val="00B4259D"/>
    <w:rsid w:val="00B43AFB"/>
    <w:rsid w:val="00B4535F"/>
    <w:rsid w:val="00B4691D"/>
    <w:rsid w:val="00B4708A"/>
    <w:rsid w:val="00B47339"/>
    <w:rsid w:val="00B47A8D"/>
    <w:rsid w:val="00B54A6F"/>
    <w:rsid w:val="00B56C12"/>
    <w:rsid w:val="00B617A4"/>
    <w:rsid w:val="00B72960"/>
    <w:rsid w:val="00B8546D"/>
    <w:rsid w:val="00B87AE4"/>
    <w:rsid w:val="00B930E2"/>
    <w:rsid w:val="00BA1E81"/>
    <w:rsid w:val="00BA6DC0"/>
    <w:rsid w:val="00BB6377"/>
    <w:rsid w:val="00BC13A9"/>
    <w:rsid w:val="00BD18A1"/>
    <w:rsid w:val="00BD4BB8"/>
    <w:rsid w:val="00BD7775"/>
    <w:rsid w:val="00BE1E06"/>
    <w:rsid w:val="00BE3015"/>
    <w:rsid w:val="00BE4B1A"/>
    <w:rsid w:val="00BF0E66"/>
    <w:rsid w:val="00BF10B6"/>
    <w:rsid w:val="00C0208E"/>
    <w:rsid w:val="00C064DC"/>
    <w:rsid w:val="00C20BE8"/>
    <w:rsid w:val="00C25C82"/>
    <w:rsid w:val="00C328AB"/>
    <w:rsid w:val="00C336BA"/>
    <w:rsid w:val="00C45810"/>
    <w:rsid w:val="00C756D6"/>
    <w:rsid w:val="00C805C8"/>
    <w:rsid w:val="00C84F13"/>
    <w:rsid w:val="00C85623"/>
    <w:rsid w:val="00C85E42"/>
    <w:rsid w:val="00C93B64"/>
    <w:rsid w:val="00C95E0D"/>
    <w:rsid w:val="00CA439B"/>
    <w:rsid w:val="00CB0D36"/>
    <w:rsid w:val="00CB17DF"/>
    <w:rsid w:val="00CB3E74"/>
    <w:rsid w:val="00CB43CB"/>
    <w:rsid w:val="00CC0289"/>
    <w:rsid w:val="00CC1BB5"/>
    <w:rsid w:val="00CD2139"/>
    <w:rsid w:val="00CE1CB2"/>
    <w:rsid w:val="00CE5885"/>
    <w:rsid w:val="00CF48CD"/>
    <w:rsid w:val="00D0004B"/>
    <w:rsid w:val="00D023C2"/>
    <w:rsid w:val="00D02E82"/>
    <w:rsid w:val="00D06428"/>
    <w:rsid w:val="00D07EF0"/>
    <w:rsid w:val="00D10416"/>
    <w:rsid w:val="00D112CB"/>
    <w:rsid w:val="00D11C5D"/>
    <w:rsid w:val="00D123DE"/>
    <w:rsid w:val="00D15CA2"/>
    <w:rsid w:val="00D2050B"/>
    <w:rsid w:val="00D246CE"/>
    <w:rsid w:val="00D3219A"/>
    <w:rsid w:val="00D408F0"/>
    <w:rsid w:val="00D410B7"/>
    <w:rsid w:val="00D42DDB"/>
    <w:rsid w:val="00D44857"/>
    <w:rsid w:val="00D53302"/>
    <w:rsid w:val="00D54A03"/>
    <w:rsid w:val="00D77BD5"/>
    <w:rsid w:val="00D826D2"/>
    <w:rsid w:val="00D85CFF"/>
    <w:rsid w:val="00D85FB6"/>
    <w:rsid w:val="00D86148"/>
    <w:rsid w:val="00D878FD"/>
    <w:rsid w:val="00D87BEB"/>
    <w:rsid w:val="00D90B10"/>
    <w:rsid w:val="00D96C06"/>
    <w:rsid w:val="00DA30F8"/>
    <w:rsid w:val="00DB0808"/>
    <w:rsid w:val="00DB61FB"/>
    <w:rsid w:val="00DC2E95"/>
    <w:rsid w:val="00DC4EA5"/>
    <w:rsid w:val="00DD41C6"/>
    <w:rsid w:val="00DD7CC9"/>
    <w:rsid w:val="00DE3FDB"/>
    <w:rsid w:val="00DF02D2"/>
    <w:rsid w:val="00DF42F5"/>
    <w:rsid w:val="00DF48AC"/>
    <w:rsid w:val="00DF5877"/>
    <w:rsid w:val="00E0032A"/>
    <w:rsid w:val="00E07811"/>
    <w:rsid w:val="00E21985"/>
    <w:rsid w:val="00E24BB4"/>
    <w:rsid w:val="00E26409"/>
    <w:rsid w:val="00E27ABB"/>
    <w:rsid w:val="00E30805"/>
    <w:rsid w:val="00E30AA7"/>
    <w:rsid w:val="00E478C7"/>
    <w:rsid w:val="00E60047"/>
    <w:rsid w:val="00E6067D"/>
    <w:rsid w:val="00E671D5"/>
    <w:rsid w:val="00E7137E"/>
    <w:rsid w:val="00E81346"/>
    <w:rsid w:val="00E83B52"/>
    <w:rsid w:val="00E97FFC"/>
    <w:rsid w:val="00EA28EA"/>
    <w:rsid w:val="00EA2DD2"/>
    <w:rsid w:val="00EA4234"/>
    <w:rsid w:val="00EA5AD8"/>
    <w:rsid w:val="00EB02FE"/>
    <w:rsid w:val="00EB0625"/>
    <w:rsid w:val="00EB3CF9"/>
    <w:rsid w:val="00EB4325"/>
    <w:rsid w:val="00EB6D5E"/>
    <w:rsid w:val="00EC2551"/>
    <w:rsid w:val="00EC4344"/>
    <w:rsid w:val="00EC4A3D"/>
    <w:rsid w:val="00EC70CC"/>
    <w:rsid w:val="00ED0C54"/>
    <w:rsid w:val="00ED1F4E"/>
    <w:rsid w:val="00ED2183"/>
    <w:rsid w:val="00ED718F"/>
    <w:rsid w:val="00EE1DE1"/>
    <w:rsid w:val="00EE46DB"/>
    <w:rsid w:val="00EE4701"/>
    <w:rsid w:val="00EF4611"/>
    <w:rsid w:val="00EF5C8A"/>
    <w:rsid w:val="00F03255"/>
    <w:rsid w:val="00F12276"/>
    <w:rsid w:val="00F13F76"/>
    <w:rsid w:val="00F163C4"/>
    <w:rsid w:val="00F2217C"/>
    <w:rsid w:val="00F249E5"/>
    <w:rsid w:val="00F2658D"/>
    <w:rsid w:val="00F30530"/>
    <w:rsid w:val="00F334B9"/>
    <w:rsid w:val="00F337BC"/>
    <w:rsid w:val="00F41B90"/>
    <w:rsid w:val="00F42756"/>
    <w:rsid w:val="00F46492"/>
    <w:rsid w:val="00F55830"/>
    <w:rsid w:val="00F56B91"/>
    <w:rsid w:val="00F602C1"/>
    <w:rsid w:val="00F62B39"/>
    <w:rsid w:val="00F63822"/>
    <w:rsid w:val="00F71D75"/>
    <w:rsid w:val="00F750A2"/>
    <w:rsid w:val="00F815A3"/>
    <w:rsid w:val="00F91CC6"/>
    <w:rsid w:val="00FA13BF"/>
    <w:rsid w:val="00FA17AB"/>
    <w:rsid w:val="00FA1D8E"/>
    <w:rsid w:val="00FA2669"/>
    <w:rsid w:val="00FA37BA"/>
    <w:rsid w:val="00FB02E2"/>
    <w:rsid w:val="00FB15FE"/>
    <w:rsid w:val="00FB246B"/>
    <w:rsid w:val="00FB651A"/>
    <w:rsid w:val="00FD46C2"/>
    <w:rsid w:val="00FD59C6"/>
    <w:rsid w:val="00FE5D6A"/>
    <w:rsid w:val="00FE7CAA"/>
    <w:rsid w:val="00FF0A26"/>
    <w:rsid w:val="00FF7AA1"/>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48840-9F40-46F2-B282-CCFC7511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693"/>
    <w:pPr>
      <w:spacing w:after="0" w:line="240" w:lineRule="auto"/>
    </w:pPr>
    <w:rPr>
      <w:rFonts w:eastAsia="Times New Roman"/>
      <w:color w:val="333333"/>
      <w:spacing w:val="-2"/>
      <w:sz w:val="24"/>
      <w:szCs w:val="24"/>
      <w:u w:color="33CCCC"/>
      <w:lang w:val="es-ES" w:eastAsia="es-ES"/>
    </w:rPr>
  </w:style>
  <w:style w:type="paragraph" w:styleId="Ttulo1">
    <w:name w:val="heading 1"/>
    <w:basedOn w:val="Normal"/>
    <w:next w:val="Normal"/>
    <w:link w:val="Ttulo1Car"/>
    <w:uiPriority w:val="9"/>
    <w:qFormat/>
    <w:rsid w:val="003E57C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614693"/>
    <w:pPr>
      <w:pBdr>
        <w:bottom w:val="single" w:sz="6" w:space="1" w:color="auto"/>
      </w:pBdr>
      <w:suppressAutoHyphens/>
      <w:jc w:val="center"/>
    </w:pPr>
    <w:rPr>
      <w:rFonts w:ascii="Arial" w:hAnsi="Arial"/>
      <w:b/>
      <w:color w:val="auto"/>
      <w:sz w:val="20"/>
      <w:szCs w:val="20"/>
    </w:rPr>
  </w:style>
  <w:style w:type="character" w:customStyle="1" w:styleId="PuestoCar">
    <w:name w:val="Puesto Car"/>
    <w:basedOn w:val="Fuentedeprrafopredeter"/>
    <w:link w:val="Puesto"/>
    <w:rsid w:val="00614693"/>
    <w:rPr>
      <w:rFonts w:ascii="Arial" w:eastAsia="Times New Roman" w:hAnsi="Arial"/>
      <w:b/>
      <w:spacing w:val="-2"/>
      <w:sz w:val="20"/>
      <w:szCs w:val="20"/>
      <w:u w:color="33CCCC"/>
      <w:lang w:val="es-ES" w:eastAsia="es-ES"/>
    </w:rPr>
  </w:style>
  <w:style w:type="paragraph" w:styleId="Textoindependiente3">
    <w:name w:val="Body Text 3"/>
    <w:basedOn w:val="Normal"/>
    <w:link w:val="Textoindependiente3Car"/>
    <w:rsid w:val="00614693"/>
    <w:pPr>
      <w:widowControl w:val="0"/>
      <w:autoSpaceDE w:val="0"/>
      <w:autoSpaceDN w:val="0"/>
      <w:adjustRightInd w:val="0"/>
      <w:spacing w:line="268" w:lineRule="exact"/>
      <w:jc w:val="both"/>
    </w:pPr>
    <w:rPr>
      <w:rFonts w:ascii="Arial" w:hAnsi="Arial"/>
      <w:color w:val="auto"/>
      <w:spacing w:val="0"/>
      <w:sz w:val="22"/>
      <w:szCs w:val="20"/>
      <w:lang w:val="es-PY"/>
    </w:rPr>
  </w:style>
  <w:style w:type="character" w:customStyle="1" w:styleId="Textoindependiente3Car">
    <w:name w:val="Texto independiente 3 Car"/>
    <w:basedOn w:val="Fuentedeprrafopredeter"/>
    <w:link w:val="Textoindependiente3"/>
    <w:rsid w:val="00614693"/>
    <w:rPr>
      <w:rFonts w:ascii="Arial" w:eastAsia="Times New Roman" w:hAnsi="Arial"/>
      <w:szCs w:val="20"/>
      <w:u w:color="33CCCC"/>
      <w:lang w:eastAsia="es-ES"/>
    </w:rPr>
  </w:style>
  <w:style w:type="paragraph" w:styleId="Prrafodelista">
    <w:name w:val="List Paragraph"/>
    <w:basedOn w:val="Normal"/>
    <w:uiPriority w:val="34"/>
    <w:qFormat/>
    <w:rsid w:val="00B34BB4"/>
    <w:pPr>
      <w:ind w:left="720"/>
      <w:contextualSpacing/>
    </w:pPr>
  </w:style>
  <w:style w:type="paragraph" w:styleId="Textodeglobo">
    <w:name w:val="Balloon Text"/>
    <w:basedOn w:val="Normal"/>
    <w:link w:val="TextodegloboCar"/>
    <w:uiPriority w:val="99"/>
    <w:semiHidden/>
    <w:unhideWhenUsed/>
    <w:rsid w:val="00EC255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2551"/>
    <w:rPr>
      <w:rFonts w:ascii="Tahoma" w:eastAsia="Times New Roman" w:hAnsi="Tahoma" w:cs="Tahoma"/>
      <w:color w:val="333333"/>
      <w:spacing w:val="-2"/>
      <w:sz w:val="16"/>
      <w:szCs w:val="16"/>
      <w:u w:color="33CCCC"/>
      <w:lang w:val="es-ES" w:eastAsia="es-ES"/>
    </w:rPr>
  </w:style>
  <w:style w:type="paragraph" w:styleId="Encabezado">
    <w:name w:val="header"/>
    <w:basedOn w:val="Normal"/>
    <w:link w:val="EncabezadoCar"/>
    <w:uiPriority w:val="99"/>
    <w:unhideWhenUsed/>
    <w:rsid w:val="006160F2"/>
    <w:pPr>
      <w:tabs>
        <w:tab w:val="center" w:pos="4252"/>
        <w:tab w:val="right" w:pos="8504"/>
      </w:tabs>
    </w:pPr>
  </w:style>
  <w:style w:type="character" w:customStyle="1" w:styleId="EncabezadoCar">
    <w:name w:val="Encabezado Car"/>
    <w:basedOn w:val="Fuentedeprrafopredeter"/>
    <w:link w:val="Encabezado"/>
    <w:uiPriority w:val="99"/>
    <w:rsid w:val="006160F2"/>
    <w:rPr>
      <w:rFonts w:eastAsia="Times New Roman"/>
      <w:color w:val="333333"/>
      <w:spacing w:val="-2"/>
      <w:sz w:val="24"/>
      <w:szCs w:val="24"/>
      <w:u w:color="33CCCC"/>
      <w:lang w:val="es-ES" w:eastAsia="es-ES"/>
    </w:rPr>
  </w:style>
  <w:style w:type="paragraph" w:styleId="Piedepgina">
    <w:name w:val="footer"/>
    <w:basedOn w:val="Normal"/>
    <w:link w:val="PiedepginaCar"/>
    <w:uiPriority w:val="99"/>
    <w:unhideWhenUsed/>
    <w:rsid w:val="006160F2"/>
    <w:pPr>
      <w:tabs>
        <w:tab w:val="center" w:pos="4252"/>
        <w:tab w:val="right" w:pos="8504"/>
      </w:tabs>
    </w:pPr>
  </w:style>
  <w:style w:type="character" w:customStyle="1" w:styleId="PiedepginaCar">
    <w:name w:val="Pie de página Car"/>
    <w:basedOn w:val="Fuentedeprrafopredeter"/>
    <w:link w:val="Piedepgina"/>
    <w:uiPriority w:val="99"/>
    <w:rsid w:val="006160F2"/>
    <w:rPr>
      <w:rFonts w:eastAsia="Times New Roman"/>
      <w:color w:val="333333"/>
      <w:spacing w:val="-2"/>
      <w:sz w:val="24"/>
      <w:szCs w:val="24"/>
      <w:u w:color="33CCCC"/>
      <w:lang w:val="es-ES" w:eastAsia="es-ES"/>
    </w:rPr>
  </w:style>
  <w:style w:type="character" w:styleId="Refdecomentario">
    <w:name w:val="annotation reference"/>
    <w:basedOn w:val="Fuentedeprrafopredeter"/>
    <w:uiPriority w:val="99"/>
    <w:semiHidden/>
    <w:unhideWhenUsed/>
    <w:rsid w:val="000D043D"/>
    <w:rPr>
      <w:sz w:val="16"/>
      <w:szCs w:val="16"/>
    </w:rPr>
  </w:style>
  <w:style w:type="paragraph" w:styleId="Textocomentario">
    <w:name w:val="annotation text"/>
    <w:basedOn w:val="Normal"/>
    <w:link w:val="TextocomentarioCar"/>
    <w:uiPriority w:val="99"/>
    <w:semiHidden/>
    <w:unhideWhenUsed/>
    <w:rsid w:val="000D043D"/>
    <w:rPr>
      <w:sz w:val="20"/>
      <w:szCs w:val="20"/>
    </w:rPr>
  </w:style>
  <w:style w:type="character" w:customStyle="1" w:styleId="TextocomentarioCar">
    <w:name w:val="Texto comentario Car"/>
    <w:basedOn w:val="Fuentedeprrafopredeter"/>
    <w:link w:val="Textocomentario"/>
    <w:uiPriority w:val="99"/>
    <w:semiHidden/>
    <w:rsid w:val="000D043D"/>
    <w:rPr>
      <w:rFonts w:eastAsia="Times New Roman"/>
      <w:color w:val="333333"/>
      <w:spacing w:val="-2"/>
      <w:sz w:val="20"/>
      <w:szCs w:val="20"/>
      <w:u w:color="33CCCC"/>
      <w:lang w:val="es-ES" w:eastAsia="es-ES"/>
    </w:rPr>
  </w:style>
  <w:style w:type="paragraph" w:styleId="Asuntodelcomentario">
    <w:name w:val="annotation subject"/>
    <w:basedOn w:val="Textocomentario"/>
    <w:next w:val="Textocomentario"/>
    <w:link w:val="AsuntodelcomentarioCar"/>
    <w:uiPriority w:val="99"/>
    <w:semiHidden/>
    <w:unhideWhenUsed/>
    <w:rsid w:val="000D043D"/>
    <w:rPr>
      <w:b/>
      <w:bCs/>
    </w:rPr>
  </w:style>
  <w:style w:type="character" w:customStyle="1" w:styleId="AsuntodelcomentarioCar">
    <w:name w:val="Asunto del comentario Car"/>
    <w:basedOn w:val="TextocomentarioCar"/>
    <w:link w:val="Asuntodelcomentario"/>
    <w:uiPriority w:val="99"/>
    <w:semiHidden/>
    <w:rsid w:val="000D043D"/>
    <w:rPr>
      <w:rFonts w:eastAsia="Times New Roman"/>
      <w:b/>
      <w:bCs/>
      <w:color w:val="333333"/>
      <w:spacing w:val="-2"/>
      <w:sz w:val="20"/>
      <w:szCs w:val="20"/>
      <w:u w:color="33CCCC"/>
      <w:lang w:val="es-ES" w:eastAsia="es-ES"/>
    </w:rPr>
  </w:style>
  <w:style w:type="paragraph" w:styleId="Revisin">
    <w:name w:val="Revision"/>
    <w:hidden/>
    <w:uiPriority w:val="99"/>
    <w:semiHidden/>
    <w:rsid w:val="00317ABC"/>
    <w:pPr>
      <w:spacing w:after="0" w:line="240" w:lineRule="auto"/>
    </w:pPr>
    <w:rPr>
      <w:rFonts w:eastAsia="Times New Roman"/>
      <w:color w:val="333333"/>
      <w:spacing w:val="-2"/>
      <w:sz w:val="24"/>
      <w:szCs w:val="24"/>
      <w:u w:color="33CCCC"/>
      <w:lang w:val="es-ES" w:eastAsia="es-ES"/>
    </w:rPr>
  </w:style>
  <w:style w:type="character" w:customStyle="1" w:styleId="Ttulo1Car">
    <w:name w:val="Título 1 Car"/>
    <w:basedOn w:val="Fuentedeprrafopredeter"/>
    <w:link w:val="Ttulo1"/>
    <w:uiPriority w:val="9"/>
    <w:rsid w:val="003E57C4"/>
    <w:rPr>
      <w:rFonts w:asciiTheme="majorHAnsi" w:eastAsiaTheme="majorEastAsia" w:hAnsiTheme="majorHAnsi" w:cstheme="majorBidi"/>
      <w:color w:val="365F91" w:themeColor="accent1" w:themeShade="BF"/>
      <w:spacing w:val="-2"/>
      <w:sz w:val="32"/>
      <w:szCs w:val="32"/>
      <w:u w:color="33CCCC"/>
      <w:lang w:val="es-ES" w:eastAsia="es-ES"/>
    </w:rPr>
  </w:style>
  <w:style w:type="table" w:styleId="Tablaconcuadrcula">
    <w:name w:val="Table Grid"/>
    <w:basedOn w:val="Tablanormal"/>
    <w:uiPriority w:val="59"/>
    <w:rsid w:val="0094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066352">
      <w:bodyDiv w:val="1"/>
      <w:marLeft w:val="0"/>
      <w:marRight w:val="0"/>
      <w:marTop w:val="0"/>
      <w:marBottom w:val="0"/>
      <w:divBdr>
        <w:top w:val="none" w:sz="0" w:space="0" w:color="auto"/>
        <w:left w:val="none" w:sz="0" w:space="0" w:color="auto"/>
        <w:bottom w:val="none" w:sz="0" w:space="0" w:color="auto"/>
        <w:right w:val="none" w:sz="0" w:space="0" w:color="auto"/>
      </w:divBdr>
    </w:div>
    <w:div w:id="1091437691">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4689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38496-B50D-465B-8BEF-F7B5B287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4019</Words>
  <Characters>22105</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Gonzalez</dc:creator>
  <cp:lastModifiedBy>Mario Rivarola</cp:lastModifiedBy>
  <cp:revision>4</cp:revision>
  <cp:lastPrinted>2016-08-27T17:37:00Z</cp:lastPrinted>
  <dcterms:created xsi:type="dcterms:W3CDTF">2016-08-27T16:10:00Z</dcterms:created>
  <dcterms:modified xsi:type="dcterms:W3CDTF">2016-08-27T18:05:00Z</dcterms:modified>
</cp:coreProperties>
</file>